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noProof/>
          <w:lang w:eastAsia="es-MX"/>
        </w:rPr>
        <w:id w:val="-316814492"/>
        <w:docPartObj>
          <w:docPartGallery w:val="Cover Pages"/>
          <w:docPartUnique/>
        </w:docPartObj>
      </w:sdtPr>
      <w:sdtEndPr/>
      <w:sdtContent>
        <w:p w14:paraId="2C1B8C18" w14:textId="77777777" w:rsidR="005D67A5" w:rsidRPr="00D64E6A" w:rsidRDefault="005D67A5">
          <w:pPr>
            <w:jc w:val="left"/>
            <w:rPr>
              <w:b/>
              <w:noProof/>
              <w:lang w:eastAsia="es-MX"/>
            </w:rPr>
          </w:pPr>
          <w:r w:rsidRPr="00D64E6A">
            <w:rPr>
              <w:b/>
              <w:noProof/>
              <w:lang w:eastAsia="es-MX"/>
            </w:rPr>
            <mc:AlternateContent>
              <mc:Choice Requires="wps">
                <w:drawing>
                  <wp:anchor distT="0" distB="0" distL="114300" distR="114300" simplePos="0" relativeHeight="251659264" behindDoc="0" locked="0" layoutInCell="1" allowOverlap="1" wp14:anchorId="2C1B8DB1" wp14:editId="2C1B8DB2">
                    <wp:simplePos x="0" y="0"/>
                    <wp:positionH relativeFrom="page">
                      <wp:align>center</wp:align>
                    </wp:positionH>
                    <wp:positionV relativeFrom="page">
                      <wp:align>center</wp:align>
                    </wp:positionV>
                    <wp:extent cx="1712890" cy="3840480"/>
                    <wp:effectExtent l="0" t="0" r="0" b="2540"/>
                    <wp:wrapNone/>
                    <wp:docPr id="138" name="Cuadro de texto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1B8DCD" w14:textId="77777777" w:rsidR="00A13046" w:rsidRDefault="00A13046"/>
                              <w:tbl>
                                <w:tblPr>
                                  <w:tblW w:w="498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4121"/>
                                  <w:gridCol w:w="7341"/>
                                </w:tblGrid>
                                <w:tr w:rsidR="00A13046" w14:paraId="2C1B8DD8" w14:textId="77777777" w:rsidTr="00BE5283">
                                  <w:trPr>
                                    <w:jc w:val="center"/>
                                  </w:trPr>
                                  <w:tc>
                                    <w:tcPr>
                                      <w:tcW w:w="1722" w:type="pct"/>
                                      <w:vAlign w:val="center"/>
                                    </w:tcPr>
                                    <w:p w14:paraId="2C1B8DCE" w14:textId="77777777" w:rsidR="00A13046" w:rsidRDefault="00A13046">
                                      <w:pPr>
                                        <w:jc w:val="right"/>
                                      </w:pPr>
                                      <w:r>
                                        <w:rPr>
                                          <w:noProof/>
                                          <w:lang w:eastAsia="es-MX"/>
                                        </w:rPr>
                                        <w:drawing>
                                          <wp:inline distT="0" distB="0" distL="0" distR="0" wp14:anchorId="2C1B8DDA" wp14:editId="2C1B8DDB">
                                            <wp:extent cx="2095500" cy="63817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INE.png"/>
                                                    <pic:cNvPicPr/>
                                                  </pic:nvPicPr>
                                                  <pic:blipFill>
                                                    <a:blip r:embed="rId12">
                                                      <a:extLst>
                                                        <a:ext uri="{28A0092B-C50C-407E-A947-70E740481C1C}">
                                                          <a14:useLocalDpi xmlns:a14="http://schemas.microsoft.com/office/drawing/2010/main" val="0"/>
                                                        </a:ext>
                                                      </a:extLst>
                                                    </a:blip>
                                                    <a:stretch>
                                                      <a:fillRect/>
                                                    </a:stretch>
                                                  </pic:blipFill>
                                                  <pic:spPr>
                                                    <a:xfrm>
                                                      <a:off x="0" y="0"/>
                                                      <a:ext cx="2095500" cy="638175"/>
                                                    </a:xfrm>
                                                    <a:prstGeom prst="rect">
                                                      <a:avLst/>
                                                    </a:prstGeom>
                                                  </pic:spPr>
                                                </pic:pic>
                                              </a:graphicData>
                                            </a:graphic>
                                          </wp:inline>
                                        </w:drawing>
                                      </w:r>
                                    </w:p>
                                    <w:p w14:paraId="2C1B8DCF" w14:textId="77777777" w:rsidR="00A13046" w:rsidRDefault="00A13046">
                                      <w:pPr>
                                        <w:jc w:val="right"/>
                                      </w:pPr>
                                    </w:p>
                                    <w:p w14:paraId="2C1B8DD0" w14:textId="77777777" w:rsidR="00A13046" w:rsidRDefault="00A13046">
                                      <w:pPr>
                                        <w:jc w:val="right"/>
                                      </w:pPr>
                                    </w:p>
                                    <w:p w14:paraId="2C1B8DD1" w14:textId="77777777" w:rsidR="00A13046" w:rsidRDefault="00A13046">
                                      <w:pPr>
                                        <w:jc w:val="right"/>
                                      </w:pPr>
                                    </w:p>
                                    <w:p w14:paraId="2C1B8DD2" w14:textId="77777777" w:rsidR="00A13046" w:rsidRDefault="00A13046" w:rsidP="005D67A5"/>
                                    <w:p w14:paraId="2C1B8DD3" w14:textId="77777777" w:rsidR="00A13046" w:rsidRDefault="00A13046">
                                      <w:pPr>
                                        <w:jc w:val="right"/>
                                      </w:pPr>
                                      <w:r>
                                        <w:rPr>
                                          <w:b/>
                                          <w:noProof/>
                                          <w:lang w:eastAsia="es-MX"/>
                                        </w:rPr>
                                        <w:drawing>
                                          <wp:inline distT="0" distB="0" distL="0" distR="0" wp14:anchorId="2C1B8DDC" wp14:editId="2C1B8DDD">
                                            <wp:extent cx="2160000" cy="964230"/>
                                            <wp:effectExtent l="0" t="0" r="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crt-01.png"/>
                                                    <pic:cNvPicPr/>
                                                  </pic:nvPicPr>
                                                  <pic:blipFill>
                                                    <a:blip r:embed="rId13">
                                                      <a:extLst>
                                                        <a:ext uri="{28A0092B-C50C-407E-A947-70E740481C1C}">
                                                          <a14:useLocalDpi xmlns:a14="http://schemas.microsoft.com/office/drawing/2010/main" val="0"/>
                                                        </a:ext>
                                                      </a:extLst>
                                                    </a:blip>
                                                    <a:stretch>
                                                      <a:fillRect/>
                                                    </a:stretch>
                                                  </pic:blipFill>
                                                  <pic:spPr>
                                                    <a:xfrm>
                                                      <a:off x="0" y="0"/>
                                                      <a:ext cx="2160000" cy="964230"/>
                                                    </a:xfrm>
                                                    <a:prstGeom prst="rect">
                                                      <a:avLst/>
                                                    </a:prstGeom>
                                                  </pic:spPr>
                                                </pic:pic>
                                              </a:graphicData>
                                            </a:graphic>
                                          </wp:inline>
                                        </w:drawing>
                                      </w:r>
                                    </w:p>
                                    <w:p w14:paraId="2C1B8DD4" w14:textId="77777777" w:rsidR="00A13046" w:rsidRDefault="00A13046" w:rsidP="005D67A5">
                                      <w:pPr>
                                        <w:jc w:val="right"/>
                                        <w:rPr>
                                          <w:szCs w:val="24"/>
                                        </w:rPr>
                                      </w:pPr>
                                    </w:p>
                                  </w:tc>
                                  <w:tc>
                                    <w:tcPr>
                                      <w:tcW w:w="3278" w:type="pct"/>
                                      <w:vAlign w:val="center"/>
                                    </w:tcPr>
                                    <w:p w14:paraId="2C1B8DD5" w14:textId="77777777" w:rsidR="00A13046" w:rsidRPr="00BE5283" w:rsidRDefault="00A13046" w:rsidP="005D67A5">
                                      <w:pPr>
                                        <w:rPr>
                                          <w:color w:val="000000" w:themeColor="text1"/>
                                          <w:spacing w:val="-2"/>
                                        </w:rPr>
                                      </w:pPr>
                                      <w:r w:rsidRPr="00BE5283">
                                        <w:rPr>
                                          <w:b/>
                                          <w:color w:val="3B3838" w:themeColor="background2" w:themeShade="40"/>
                                          <w:spacing w:val="-2"/>
                                          <w:sz w:val="32"/>
                                          <w:szCs w:val="32"/>
                                        </w:rPr>
                                        <w:t>I</w:t>
                                      </w:r>
                                      <w:bookmarkStart w:id="0" w:name="_GoBack"/>
                                      <w:bookmarkEnd w:id="0"/>
                                      <w:r w:rsidRPr="00BE5283">
                                        <w:rPr>
                                          <w:b/>
                                          <w:color w:val="3B3838" w:themeColor="background2" w:themeShade="40"/>
                                          <w:spacing w:val="-2"/>
                                          <w:sz w:val="32"/>
                                          <w:szCs w:val="32"/>
                                        </w:rPr>
                                        <w:t>NFORME DE GESTIÓN DEL CONSEJERO ELECTORAL, DR. BENITO NACIF HERNÁNDEZ,</w:t>
                                      </w:r>
                                      <w:r>
                                        <w:rPr>
                                          <w:b/>
                                          <w:color w:val="3B3838" w:themeColor="background2" w:themeShade="40"/>
                                          <w:spacing w:val="-2"/>
                                          <w:sz w:val="32"/>
                                          <w:szCs w:val="32"/>
                                        </w:rPr>
                                        <w:t xml:space="preserve"> </w:t>
                                      </w:r>
                                      <w:r w:rsidRPr="00BE5283">
                                        <w:rPr>
                                          <w:b/>
                                          <w:color w:val="3B3838" w:themeColor="background2" w:themeShade="40"/>
                                          <w:spacing w:val="-2"/>
                                          <w:sz w:val="32"/>
                                          <w:szCs w:val="32"/>
                                        </w:rPr>
                                        <w:t>COMO PRESIDENTE DEL COMITÉ DE RADIO Y TELEVISIÓN</w:t>
                                      </w:r>
                                    </w:p>
                                    <w:p w14:paraId="2C1B8DD6" w14:textId="77777777" w:rsidR="00A13046" w:rsidRDefault="00A13046">
                                      <w:pPr>
                                        <w:pStyle w:val="Sinespaciado"/>
                                        <w:rPr>
                                          <w:b/>
                                          <w:color w:val="3B3838" w:themeColor="background2" w:themeShade="40"/>
                                          <w:sz w:val="36"/>
                                          <w:szCs w:val="36"/>
                                        </w:rPr>
                                      </w:pPr>
                                    </w:p>
                                    <w:p w14:paraId="2C1B8DD7" w14:textId="77777777" w:rsidR="00A13046" w:rsidRDefault="00B66263">
                                      <w:pPr>
                                        <w:pStyle w:val="Sinespaciado"/>
                                      </w:pPr>
                                      <w:sdt>
                                        <w:sdtPr>
                                          <w:rPr>
                                            <w:b/>
                                            <w:color w:val="3B3838" w:themeColor="background2" w:themeShade="40"/>
                                            <w:sz w:val="36"/>
                                            <w:szCs w:val="36"/>
                                          </w:rPr>
                                          <w:alias w:val="Curso"/>
                                          <w:tag w:val="Curso"/>
                                          <w:id w:val="-710501431"/>
                                          <w:dataBinding w:prefixMappings="xmlns:ns0='http://purl.org/dc/elements/1.1/' xmlns:ns1='http://schemas.openxmlformats.org/package/2006/metadata/core-properties' " w:xpath="/ns1:coreProperties[1]/ns1:category[1]" w:storeItemID="{6C3C8BC8-F283-45AE-878A-BAB7291924A1}"/>
                                          <w:text/>
                                        </w:sdtPr>
                                        <w:sdtEndPr/>
                                        <w:sdtContent>
                                          <w:r w:rsidR="00A13046" w:rsidRPr="005D67A5">
                                            <w:rPr>
                                              <w:b/>
                                              <w:color w:val="3B3838" w:themeColor="background2" w:themeShade="40"/>
                                              <w:sz w:val="36"/>
                                              <w:szCs w:val="36"/>
                                            </w:rPr>
                                            <w:t>Ciudad de México, agosto de 2016</w:t>
                                          </w:r>
                                        </w:sdtContent>
                                      </w:sdt>
                                    </w:p>
                                  </w:tc>
                                </w:tr>
                              </w:tbl>
                              <w:p w14:paraId="2C1B8DD9" w14:textId="77777777" w:rsidR="00A13046" w:rsidRDefault="00A13046"/>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2C1B8DB1" id="_x0000_t202" coordsize="21600,21600" o:spt="202" path="m,l,21600r21600,l21600,xe">
                    <v:stroke joinstyle="miter"/>
                    <v:path gradientshapeok="t" o:connecttype="rect"/>
                  </v:shapetype>
                  <v:shape id="Cuadro de texto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" fillcolor="white [3201]" stroked="f" strokeweight=".5pt">
                    <v:textbox inset="0,0,0,0">
                      <w:txbxContent>
                        <w:p w14:paraId="2C1B8DCD" w14:textId="77777777" w:rsidR="00A13046" w:rsidRDefault="00A13046"/>
                        <w:tbl>
                          <w:tblPr>
                            <w:tblW w:w="498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4121"/>
                            <w:gridCol w:w="7341"/>
                          </w:tblGrid>
                          <w:tr w:rsidR="00A13046" w14:paraId="2C1B8DD8" w14:textId="77777777" w:rsidTr="00BE5283">
                            <w:trPr>
                              <w:jc w:val="center"/>
                            </w:trPr>
                            <w:tc>
                              <w:tcPr>
                                <w:tcW w:w="1722" w:type="pct"/>
                                <w:vAlign w:val="center"/>
                              </w:tcPr>
                              <w:p w14:paraId="2C1B8DCE" w14:textId="77777777" w:rsidR="00A13046" w:rsidRDefault="00A13046">
                                <w:pPr>
                                  <w:jc w:val="right"/>
                                </w:pPr>
                                <w:r>
                                  <w:rPr>
                                    <w:noProof/>
                                    <w:lang w:eastAsia="es-MX"/>
                                  </w:rPr>
                                  <w:drawing>
                                    <wp:inline distT="0" distB="0" distL="0" distR="0" wp14:anchorId="2C1B8DDA" wp14:editId="2C1B8DDB">
                                      <wp:extent cx="2095500" cy="63817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INE.png"/>
                                              <pic:cNvPicPr/>
                                            </pic:nvPicPr>
                                            <pic:blipFill>
                                              <a:blip r:embed="rId12">
                                                <a:extLst>
                                                  <a:ext uri="{28A0092B-C50C-407E-A947-70E740481C1C}">
                                                    <a14:useLocalDpi xmlns:a14="http://schemas.microsoft.com/office/drawing/2010/main" val="0"/>
                                                  </a:ext>
                                                </a:extLst>
                                              </a:blip>
                                              <a:stretch>
                                                <a:fillRect/>
                                              </a:stretch>
                                            </pic:blipFill>
                                            <pic:spPr>
                                              <a:xfrm>
                                                <a:off x="0" y="0"/>
                                                <a:ext cx="2095500" cy="638175"/>
                                              </a:xfrm>
                                              <a:prstGeom prst="rect">
                                                <a:avLst/>
                                              </a:prstGeom>
                                            </pic:spPr>
                                          </pic:pic>
                                        </a:graphicData>
                                      </a:graphic>
                                    </wp:inline>
                                  </w:drawing>
                                </w:r>
                              </w:p>
                              <w:p w14:paraId="2C1B8DCF" w14:textId="77777777" w:rsidR="00A13046" w:rsidRDefault="00A13046">
                                <w:pPr>
                                  <w:jc w:val="right"/>
                                </w:pPr>
                              </w:p>
                              <w:p w14:paraId="2C1B8DD0" w14:textId="77777777" w:rsidR="00A13046" w:rsidRDefault="00A13046">
                                <w:pPr>
                                  <w:jc w:val="right"/>
                                </w:pPr>
                              </w:p>
                              <w:p w14:paraId="2C1B8DD1" w14:textId="77777777" w:rsidR="00A13046" w:rsidRDefault="00A13046">
                                <w:pPr>
                                  <w:jc w:val="right"/>
                                </w:pPr>
                              </w:p>
                              <w:p w14:paraId="2C1B8DD2" w14:textId="77777777" w:rsidR="00A13046" w:rsidRDefault="00A13046" w:rsidP="005D67A5"/>
                              <w:p w14:paraId="2C1B8DD3" w14:textId="77777777" w:rsidR="00A13046" w:rsidRDefault="00A13046">
                                <w:pPr>
                                  <w:jc w:val="right"/>
                                </w:pPr>
                                <w:r>
                                  <w:rPr>
                                    <w:b/>
                                    <w:noProof/>
                                    <w:lang w:eastAsia="es-MX"/>
                                  </w:rPr>
                                  <w:drawing>
                                    <wp:inline distT="0" distB="0" distL="0" distR="0" wp14:anchorId="2C1B8DDC" wp14:editId="2C1B8DDD">
                                      <wp:extent cx="2160000" cy="964230"/>
                                      <wp:effectExtent l="0" t="0" r="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crt-01.png"/>
                                              <pic:cNvPicPr/>
                                            </pic:nvPicPr>
                                            <pic:blipFill>
                                              <a:blip r:embed="rId13">
                                                <a:extLst>
                                                  <a:ext uri="{28A0092B-C50C-407E-A947-70E740481C1C}">
                                                    <a14:useLocalDpi xmlns:a14="http://schemas.microsoft.com/office/drawing/2010/main" val="0"/>
                                                  </a:ext>
                                                </a:extLst>
                                              </a:blip>
                                              <a:stretch>
                                                <a:fillRect/>
                                              </a:stretch>
                                            </pic:blipFill>
                                            <pic:spPr>
                                              <a:xfrm>
                                                <a:off x="0" y="0"/>
                                                <a:ext cx="2160000" cy="964230"/>
                                              </a:xfrm>
                                              <a:prstGeom prst="rect">
                                                <a:avLst/>
                                              </a:prstGeom>
                                            </pic:spPr>
                                          </pic:pic>
                                        </a:graphicData>
                                      </a:graphic>
                                    </wp:inline>
                                  </w:drawing>
                                </w:r>
                              </w:p>
                              <w:p w14:paraId="2C1B8DD4" w14:textId="77777777" w:rsidR="00A13046" w:rsidRDefault="00A13046" w:rsidP="005D67A5">
                                <w:pPr>
                                  <w:jc w:val="right"/>
                                  <w:rPr>
                                    <w:szCs w:val="24"/>
                                  </w:rPr>
                                </w:pPr>
                              </w:p>
                            </w:tc>
                            <w:tc>
                              <w:tcPr>
                                <w:tcW w:w="3278" w:type="pct"/>
                                <w:vAlign w:val="center"/>
                              </w:tcPr>
                              <w:p w14:paraId="2C1B8DD5" w14:textId="77777777" w:rsidR="00A13046" w:rsidRPr="00BE5283" w:rsidRDefault="00A13046" w:rsidP="005D67A5">
                                <w:pPr>
                                  <w:rPr>
                                    <w:color w:val="000000" w:themeColor="text1"/>
                                    <w:spacing w:val="-2"/>
                                  </w:rPr>
                                </w:pPr>
                                <w:r w:rsidRPr="00BE5283">
                                  <w:rPr>
                                    <w:b/>
                                    <w:color w:val="3B3838" w:themeColor="background2" w:themeShade="40"/>
                                    <w:spacing w:val="-2"/>
                                    <w:sz w:val="32"/>
                                    <w:szCs w:val="32"/>
                                  </w:rPr>
                                  <w:t>I</w:t>
                                </w:r>
                                <w:bookmarkStart w:id="1" w:name="_GoBack"/>
                                <w:bookmarkEnd w:id="1"/>
                                <w:r w:rsidRPr="00BE5283">
                                  <w:rPr>
                                    <w:b/>
                                    <w:color w:val="3B3838" w:themeColor="background2" w:themeShade="40"/>
                                    <w:spacing w:val="-2"/>
                                    <w:sz w:val="32"/>
                                    <w:szCs w:val="32"/>
                                  </w:rPr>
                                  <w:t>NFORME DE GESTIÓN DEL CONSEJERO ELECTORAL, DR. BENITO NACIF HERNÁNDEZ,</w:t>
                                </w:r>
                                <w:r>
                                  <w:rPr>
                                    <w:b/>
                                    <w:color w:val="3B3838" w:themeColor="background2" w:themeShade="40"/>
                                    <w:spacing w:val="-2"/>
                                    <w:sz w:val="32"/>
                                    <w:szCs w:val="32"/>
                                  </w:rPr>
                                  <w:t xml:space="preserve"> </w:t>
                                </w:r>
                                <w:r w:rsidRPr="00BE5283">
                                  <w:rPr>
                                    <w:b/>
                                    <w:color w:val="3B3838" w:themeColor="background2" w:themeShade="40"/>
                                    <w:spacing w:val="-2"/>
                                    <w:sz w:val="32"/>
                                    <w:szCs w:val="32"/>
                                  </w:rPr>
                                  <w:t>COMO PRESIDENTE DEL COMITÉ DE RADIO Y TELEVISIÓN</w:t>
                                </w:r>
                              </w:p>
                              <w:p w14:paraId="2C1B8DD6" w14:textId="77777777" w:rsidR="00A13046" w:rsidRDefault="00A13046">
                                <w:pPr>
                                  <w:pStyle w:val="Sinespaciado"/>
                                  <w:rPr>
                                    <w:b/>
                                    <w:color w:val="3B3838" w:themeColor="background2" w:themeShade="40"/>
                                    <w:sz w:val="36"/>
                                    <w:szCs w:val="36"/>
                                  </w:rPr>
                                </w:pPr>
                              </w:p>
                              <w:p w14:paraId="2C1B8DD7" w14:textId="77777777" w:rsidR="00A13046" w:rsidRDefault="00B66263">
                                <w:pPr>
                                  <w:pStyle w:val="Sinespaciado"/>
                                </w:pPr>
                                <w:sdt>
                                  <w:sdtPr>
                                    <w:rPr>
                                      <w:b/>
                                      <w:color w:val="3B3838" w:themeColor="background2" w:themeShade="40"/>
                                      <w:sz w:val="36"/>
                                      <w:szCs w:val="36"/>
                                    </w:rPr>
                                    <w:alias w:val="Curso"/>
                                    <w:tag w:val="Curso"/>
                                    <w:id w:val="-710501431"/>
                                    <w:dataBinding w:prefixMappings="xmlns:ns0='http://purl.org/dc/elements/1.1/' xmlns:ns1='http://schemas.openxmlformats.org/package/2006/metadata/core-properties' " w:xpath="/ns1:coreProperties[1]/ns1:category[1]" w:storeItemID="{6C3C8BC8-F283-45AE-878A-BAB7291924A1}"/>
                                    <w:text/>
                                  </w:sdtPr>
                                  <w:sdtEndPr/>
                                  <w:sdtContent>
                                    <w:r w:rsidR="00A13046" w:rsidRPr="005D67A5">
                                      <w:rPr>
                                        <w:b/>
                                        <w:color w:val="3B3838" w:themeColor="background2" w:themeShade="40"/>
                                        <w:sz w:val="36"/>
                                        <w:szCs w:val="36"/>
                                      </w:rPr>
                                      <w:t>Ciudad de México, agosto de 2016</w:t>
                                    </w:r>
                                  </w:sdtContent>
                                </w:sdt>
                              </w:p>
                            </w:tc>
                          </w:tr>
                        </w:tbl>
                        <w:p w14:paraId="2C1B8DD9" w14:textId="77777777" w:rsidR="00A13046" w:rsidRDefault="00A13046"/>
                      </w:txbxContent>
                    </v:textbox>
                    <w10:wrap anchorx="page" anchory="page"/>
                  </v:shape>
                </w:pict>
              </mc:Fallback>
            </mc:AlternateContent>
          </w:r>
          <w:r w:rsidRPr="00D64E6A">
            <w:rPr>
              <w:b/>
              <w:noProof/>
              <w:lang w:eastAsia="es-MX"/>
            </w:rPr>
            <w:br w:type="page"/>
          </w:r>
        </w:p>
      </w:sdtContent>
    </w:sdt>
    <w:p w14:paraId="2C1B8C19" w14:textId="77777777" w:rsidR="003156E1" w:rsidRPr="00D64E6A" w:rsidRDefault="003156E1" w:rsidP="000F10AA">
      <w:pPr>
        <w:jc w:val="right"/>
        <w:rPr>
          <w:b/>
          <w:color w:val="3B3838" w:themeColor="background2" w:themeShade="40"/>
          <w:sz w:val="28"/>
          <w:szCs w:val="32"/>
        </w:rPr>
      </w:pPr>
    </w:p>
    <w:sdt>
      <w:sdtPr>
        <w:rPr>
          <w:rFonts w:eastAsia="Calibri" w:cs="Times New Roman"/>
          <w:b w:val="0"/>
          <w:szCs w:val="22"/>
          <w:lang w:val="es-ES" w:eastAsia="en-US"/>
        </w:rPr>
        <w:id w:val="1564669038"/>
        <w:docPartObj>
          <w:docPartGallery w:val="Table of Contents"/>
          <w:docPartUnique/>
        </w:docPartObj>
      </w:sdtPr>
      <w:sdtEndPr>
        <w:rPr>
          <w:bCs/>
        </w:rPr>
      </w:sdtEndPr>
      <w:sdtContent>
        <w:p w14:paraId="2C1B8C1A" w14:textId="77777777" w:rsidR="00AF18E0" w:rsidRPr="00D64E6A" w:rsidRDefault="00AF18E0" w:rsidP="00925765">
          <w:pPr>
            <w:pStyle w:val="TtulodeTDC"/>
            <w:ind w:right="49"/>
            <w:rPr>
              <w:rFonts w:cs="Arial"/>
              <w:sz w:val="20"/>
              <w:szCs w:val="20"/>
              <w:lang w:val="es-ES"/>
            </w:rPr>
          </w:pPr>
          <w:r w:rsidRPr="00D64E6A">
            <w:rPr>
              <w:rFonts w:cs="Arial"/>
              <w:sz w:val="20"/>
              <w:szCs w:val="20"/>
              <w:lang w:val="es-ES"/>
            </w:rPr>
            <w:t>Contenido</w:t>
          </w:r>
        </w:p>
        <w:p w14:paraId="2C1B8C1B" w14:textId="77777777" w:rsidR="003E36DB" w:rsidRPr="00D64E6A" w:rsidRDefault="003E36DB" w:rsidP="003E36DB">
          <w:pPr>
            <w:ind w:right="-93"/>
            <w:rPr>
              <w:rFonts w:cs="Arial"/>
              <w:sz w:val="20"/>
              <w:szCs w:val="20"/>
              <w:lang w:val="es-ES" w:eastAsia="es-MX"/>
            </w:rPr>
          </w:pPr>
        </w:p>
        <w:p w14:paraId="2C1B8C1C" w14:textId="77777777" w:rsidR="00F3028A" w:rsidRPr="00D64E6A" w:rsidRDefault="00AF18E0">
          <w:pPr>
            <w:pStyle w:val="TDC1"/>
            <w:rPr>
              <w:rFonts w:cstheme="minorBidi"/>
            </w:rPr>
          </w:pPr>
          <w:r w:rsidRPr="00D64E6A">
            <w:rPr>
              <w:rFonts w:ascii="Arial" w:hAnsi="Arial" w:cs="Arial"/>
              <w:sz w:val="20"/>
              <w:szCs w:val="20"/>
            </w:rPr>
            <w:fldChar w:fldCharType="begin"/>
          </w:r>
          <w:r w:rsidRPr="00D64E6A">
            <w:rPr>
              <w:rFonts w:ascii="Arial" w:hAnsi="Arial" w:cs="Arial"/>
              <w:sz w:val="20"/>
              <w:szCs w:val="20"/>
            </w:rPr>
            <w:instrText xml:space="preserve"> TOC \o "1-3" \h \z \u </w:instrText>
          </w:r>
          <w:r w:rsidRPr="00D64E6A">
            <w:rPr>
              <w:rFonts w:ascii="Arial" w:hAnsi="Arial" w:cs="Arial"/>
              <w:sz w:val="20"/>
              <w:szCs w:val="20"/>
            </w:rPr>
            <w:fldChar w:fldCharType="separate"/>
          </w:r>
          <w:hyperlink w:anchor="_Toc460517098" w:history="1">
            <w:r w:rsidR="00F3028A" w:rsidRPr="00D64E6A">
              <w:rPr>
                <w:rStyle w:val="Hipervnculo"/>
              </w:rPr>
              <w:t>I. PRESENTACIÓN</w:t>
            </w:r>
            <w:r w:rsidR="00F3028A" w:rsidRPr="00D64E6A">
              <w:rPr>
                <w:webHidden/>
              </w:rPr>
              <w:tab/>
            </w:r>
            <w:r w:rsidR="00F3028A" w:rsidRPr="00D64E6A">
              <w:rPr>
                <w:webHidden/>
              </w:rPr>
              <w:fldChar w:fldCharType="begin"/>
            </w:r>
            <w:r w:rsidR="00F3028A" w:rsidRPr="00D64E6A">
              <w:rPr>
                <w:webHidden/>
              </w:rPr>
              <w:instrText xml:space="preserve"> PAGEREF _Toc460517098 \h </w:instrText>
            </w:r>
            <w:r w:rsidR="00F3028A" w:rsidRPr="00D64E6A">
              <w:rPr>
                <w:webHidden/>
              </w:rPr>
            </w:r>
            <w:r w:rsidR="00F3028A" w:rsidRPr="00D64E6A">
              <w:rPr>
                <w:webHidden/>
              </w:rPr>
              <w:fldChar w:fldCharType="separate"/>
            </w:r>
            <w:r w:rsidR="00F3028A" w:rsidRPr="00D64E6A">
              <w:rPr>
                <w:webHidden/>
              </w:rPr>
              <w:t>3</w:t>
            </w:r>
            <w:r w:rsidR="00F3028A" w:rsidRPr="00D64E6A">
              <w:rPr>
                <w:webHidden/>
              </w:rPr>
              <w:fldChar w:fldCharType="end"/>
            </w:r>
          </w:hyperlink>
        </w:p>
        <w:p w14:paraId="2C1B8C1D" w14:textId="77777777" w:rsidR="00F3028A" w:rsidRPr="00D64E6A" w:rsidRDefault="00B66263">
          <w:pPr>
            <w:pStyle w:val="TDC1"/>
            <w:tabs>
              <w:tab w:val="left" w:pos="440"/>
            </w:tabs>
            <w:rPr>
              <w:rFonts w:cstheme="minorBidi"/>
            </w:rPr>
          </w:pPr>
          <w:hyperlink w:anchor="_Toc460517099" w:history="1">
            <w:r w:rsidR="00F3028A" w:rsidRPr="00D64E6A">
              <w:rPr>
                <w:rStyle w:val="Hipervnculo"/>
              </w:rPr>
              <w:t>II.</w:t>
            </w:r>
            <w:r w:rsidR="00F3028A" w:rsidRPr="00D64E6A">
              <w:rPr>
                <w:rFonts w:cstheme="minorBidi"/>
              </w:rPr>
              <w:tab/>
            </w:r>
            <w:r w:rsidR="00F3028A" w:rsidRPr="00D64E6A">
              <w:rPr>
                <w:rStyle w:val="Hipervnculo"/>
              </w:rPr>
              <w:t>ACTIVIDADES DESARROLLADAS DE JUNIO DE 2015 A AGOSTO DE 2016 CONFORME A LAS LÍNEAS DE ACCIÓN APROBADAS</w:t>
            </w:r>
            <w:r w:rsidR="00F3028A" w:rsidRPr="00D64E6A">
              <w:rPr>
                <w:webHidden/>
              </w:rPr>
              <w:tab/>
            </w:r>
            <w:r w:rsidR="00F3028A" w:rsidRPr="00D64E6A">
              <w:rPr>
                <w:webHidden/>
              </w:rPr>
              <w:fldChar w:fldCharType="begin"/>
            </w:r>
            <w:r w:rsidR="00F3028A" w:rsidRPr="00D64E6A">
              <w:rPr>
                <w:webHidden/>
              </w:rPr>
              <w:instrText xml:space="preserve"> PAGEREF _Toc460517099 \h </w:instrText>
            </w:r>
            <w:r w:rsidR="00F3028A" w:rsidRPr="00D64E6A">
              <w:rPr>
                <w:webHidden/>
              </w:rPr>
            </w:r>
            <w:r w:rsidR="00F3028A" w:rsidRPr="00D64E6A">
              <w:rPr>
                <w:webHidden/>
              </w:rPr>
              <w:fldChar w:fldCharType="separate"/>
            </w:r>
            <w:r w:rsidR="00F3028A" w:rsidRPr="00D64E6A">
              <w:rPr>
                <w:webHidden/>
              </w:rPr>
              <w:t>3</w:t>
            </w:r>
            <w:r w:rsidR="00F3028A" w:rsidRPr="00D64E6A">
              <w:rPr>
                <w:webHidden/>
              </w:rPr>
              <w:fldChar w:fldCharType="end"/>
            </w:r>
          </w:hyperlink>
        </w:p>
        <w:p w14:paraId="2C1B8C1E" w14:textId="77777777" w:rsidR="00F3028A" w:rsidRPr="00D64E6A" w:rsidRDefault="00B66263">
          <w:pPr>
            <w:pStyle w:val="TDC2"/>
            <w:rPr>
              <w:rFonts w:cstheme="minorBidi"/>
              <w:noProof/>
            </w:rPr>
          </w:pPr>
          <w:hyperlink w:anchor="_Toc460517100" w:history="1">
            <w:r w:rsidR="00F3028A" w:rsidRPr="00D64E6A">
              <w:rPr>
                <w:rStyle w:val="Hipervnculo"/>
                <w:noProof/>
              </w:rPr>
              <w:t>II. 1.</w:t>
            </w:r>
            <w:r w:rsidR="00F3028A" w:rsidRPr="00D64E6A">
              <w:rPr>
                <w:rFonts w:cstheme="minorBidi"/>
                <w:noProof/>
              </w:rPr>
              <w:tab/>
            </w:r>
            <w:r w:rsidR="00F3028A" w:rsidRPr="00D64E6A">
              <w:rPr>
                <w:rStyle w:val="Hipervnculo"/>
                <w:noProof/>
              </w:rPr>
              <w:t>LINEAMIENTOS APLICABLES PARA LA ENTREGA Y RECEPCIÓN ELECTRÓNICA O SATELITAL DE LAS ÓRDENES DE TRANSMISIÓN Y MATERIALES</w:t>
            </w:r>
            <w:r w:rsidR="00F3028A" w:rsidRPr="00D64E6A">
              <w:rPr>
                <w:noProof/>
                <w:webHidden/>
              </w:rPr>
              <w:tab/>
            </w:r>
            <w:r w:rsidR="00F3028A" w:rsidRPr="00D64E6A">
              <w:rPr>
                <w:noProof/>
                <w:webHidden/>
              </w:rPr>
              <w:fldChar w:fldCharType="begin"/>
            </w:r>
            <w:r w:rsidR="00F3028A" w:rsidRPr="00D64E6A">
              <w:rPr>
                <w:noProof/>
                <w:webHidden/>
              </w:rPr>
              <w:instrText xml:space="preserve"> PAGEREF _Toc460517100 \h </w:instrText>
            </w:r>
            <w:r w:rsidR="00F3028A" w:rsidRPr="00D64E6A">
              <w:rPr>
                <w:noProof/>
                <w:webHidden/>
              </w:rPr>
            </w:r>
            <w:r w:rsidR="00F3028A" w:rsidRPr="00D64E6A">
              <w:rPr>
                <w:noProof/>
                <w:webHidden/>
              </w:rPr>
              <w:fldChar w:fldCharType="separate"/>
            </w:r>
            <w:r w:rsidR="00F3028A" w:rsidRPr="00D64E6A">
              <w:rPr>
                <w:noProof/>
                <w:webHidden/>
              </w:rPr>
              <w:t>4</w:t>
            </w:r>
            <w:r w:rsidR="00F3028A" w:rsidRPr="00D64E6A">
              <w:rPr>
                <w:noProof/>
                <w:webHidden/>
              </w:rPr>
              <w:fldChar w:fldCharType="end"/>
            </w:r>
          </w:hyperlink>
        </w:p>
        <w:p w14:paraId="2C1B8C1F" w14:textId="77777777" w:rsidR="00F3028A" w:rsidRPr="00D64E6A" w:rsidRDefault="00B66263">
          <w:pPr>
            <w:pStyle w:val="TDC2"/>
            <w:rPr>
              <w:rFonts w:cstheme="minorBidi"/>
              <w:noProof/>
            </w:rPr>
          </w:pPr>
          <w:hyperlink w:anchor="_Toc460517101" w:history="1">
            <w:r w:rsidR="00F3028A" w:rsidRPr="00D64E6A">
              <w:rPr>
                <w:rStyle w:val="Hipervnculo"/>
                <w:noProof/>
              </w:rPr>
              <w:t>II. 2.</w:t>
            </w:r>
            <w:r w:rsidR="00F3028A" w:rsidRPr="00D64E6A">
              <w:rPr>
                <w:rFonts w:cstheme="minorBidi"/>
                <w:noProof/>
              </w:rPr>
              <w:tab/>
            </w:r>
            <w:r w:rsidR="00F3028A" w:rsidRPr="00D64E6A">
              <w:rPr>
                <w:rStyle w:val="Hipervnculo"/>
                <w:noProof/>
              </w:rPr>
              <w:t>REGULACIONES PARA PROCESOS ELECTORALES LOCALES 2015-2016, Y 2016-2017</w:t>
            </w:r>
            <w:r w:rsidR="00F3028A" w:rsidRPr="00D64E6A">
              <w:rPr>
                <w:noProof/>
                <w:webHidden/>
              </w:rPr>
              <w:tab/>
            </w:r>
            <w:r w:rsidR="00F3028A" w:rsidRPr="00D64E6A">
              <w:rPr>
                <w:noProof/>
                <w:webHidden/>
              </w:rPr>
              <w:fldChar w:fldCharType="begin"/>
            </w:r>
            <w:r w:rsidR="00F3028A" w:rsidRPr="00D64E6A">
              <w:rPr>
                <w:noProof/>
                <w:webHidden/>
              </w:rPr>
              <w:instrText xml:space="preserve"> PAGEREF _Toc460517101 \h </w:instrText>
            </w:r>
            <w:r w:rsidR="00F3028A" w:rsidRPr="00D64E6A">
              <w:rPr>
                <w:noProof/>
                <w:webHidden/>
              </w:rPr>
            </w:r>
            <w:r w:rsidR="00F3028A" w:rsidRPr="00D64E6A">
              <w:rPr>
                <w:noProof/>
                <w:webHidden/>
              </w:rPr>
              <w:fldChar w:fldCharType="separate"/>
            </w:r>
            <w:r w:rsidR="00F3028A" w:rsidRPr="00D64E6A">
              <w:rPr>
                <w:noProof/>
                <w:webHidden/>
              </w:rPr>
              <w:t>5</w:t>
            </w:r>
            <w:r w:rsidR="00F3028A" w:rsidRPr="00D64E6A">
              <w:rPr>
                <w:noProof/>
                <w:webHidden/>
              </w:rPr>
              <w:fldChar w:fldCharType="end"/>
            </w:r>
          </w:hyperlink>
        </w:p>
        <w:p w14:paraId="2C1B8C20" w14:textId="77777777" w:rsidR="00F3028A" w:rsidRPr="00D64E6A" w:rsidRDefault="00B66263">
          <w:pPr>
            <w:pStyle w:val="TDC2"/>
            <w:rPr>
              <w:rFonts w:cstheme="minorBidi"/>
              <w:noProof/>
            </w:rPr>
          </w:pPr>
          <w:hyperlink w:anchor="_Toc460517102" w:history="1">
            <w:r w:rsidR="00F3028A" w:rsidRPr="00D64E6A">
              <w:rPr>
                <w:rStyle w:val="Hipervnculo"/>
                <w:noProof/>
              </w:rPr>
              <w:t>II. 2.1.</w:t>
            </w:r>
            <w:r w:rsidR="00F3028A" w:rsidRPr="00D64E6A">
              <w:rPr>
                <w:rFonts w:cstheme="minorBidi"/>
                <w:noProof/>
              </w:rPr>
              <w:tab/>
            </w:r>
            <w:r w:rsidR="00F3028A" w:rsidRPr="00D64E6A">
              <w:rPr>
                <w:rStyle w:val="Hipervnculo"/>
                <w:noProof/>
              </w:rPr>
              <w:t>Aprobación de las pautas para los Procesos Electorales Locales 2015-2016</w:t>
            </w:r>
            <w:r w:rsidR="00F3028A" w:rsidRPr="00D64E6A">
              <w:rPr>
                <w:noProof/>
                <w:webHidden/>
              </w:rPr>
              <w:tab/>
            </w:r>
            <w:r w:rsidR="00F3028A" w:rsidRPr="00D64E6A">
              <w:rPr>
                <w:noProof/>
                <w:webHidden/>
              </w:rPr>
              <w:fldChar w:fldCharType="begin"/>
            </w:r>
            <w:r w:rsidR="00F3028A" w:rsidRPr="00D64E6A">
              <w:rPr>
                <w:noProof/>
                <w:webHidden/>
              </w:rPr>
              <w:instrText xml:space="preserve"> PAGEREF _Toc460517102 \h </w:instrText>
            </w:r>
            <w:r w:rsidR="00F3028A" w:rsidRPr="00D64E6A">
              <w:rPr>
                <w:noProof/>
                <w:webHidden/>
              </w:rPr>
            </w:r>
            <w:r w:rsidR="00F3028A" w:rsidRPr="00D64E6A">
              <w:rPr>
                <w:noProof/>
                <w:webHidden/>
              </w:rPr>
              <w:fldChar w:fldCharType="separate"/>
            </w:r>
            <w:r w:rsidR="00F3028A" w:rsidRPr="00D64E6A">
              <w:rPr>
                <w:noProof/>
                <w:webHidden/>
              </w:rPr>
              <w:t>5</w:t>
            </w:r>
            <w:r w:rsidR="00F3028A" w:rsidRPr="00D64E6A">
              <w:rPr>
                <w:noProof/>
                <w:webHidden/>
              </w:rPr>
              <w:fldChar w:fldCharType="end"/>
            </w:r>
          </w:hyperlink>
        </w:p>
        <w:p w14:paraId="2C1B8C21" w14:textId="77777777" w:rsidR="00F3028A" w:rsidRPr="00D64E6A" w:rsidRDefault="00B66263">
          <w:pPr>
            <w:pStyle w:val="TDC2"/>
            <w:rPr>
              <w:rFonts w:cstheme="minorBidi"/>
              <w:noProof/>
            </w:rPr>
          </w:pPr>
          <w:hyperlink w:anchor="_Toc460517103" w:history="1">
            <w:r w:rsidR="00F3028A" w:rsidRPr="00D64E6A">
              <w:rPr>
                <w:rStyle w:val="Hipervnculo"/>
                <w:noProof/>
              </w:rPr>
              <w:t>II. 2.2.</w:t>
            </w:r>
            <w:r w:rsidR="00F3028A" w:rsidRPr="00D64E6A">
              <w:rPr>
                <w:rFonts w:cstheme="minorBidi"/>
                <w:noProof/>
              </w:rPr>
              <w:tab/>
            </w:r>
            <w:r w:rsidR="00F3028A" w:rsidRPr="00D64E6A">
              <w:rPr>
                <w:rStyle w:val="Hipervnculo"/>
                <w:noProof/>
              </w:rPr>
              <w:t>Aprobación del Catálogo de las emisoras de radio y televisión que participarán en la cobertura de los Procesos Electorales Locales que se llevarán a cabo en 2016, así como, en su caso, actualizar el Catálogo de los concesionarios autorizados para transmitir en idiomas distintos al español, y en lenguas indígenas</w:t>
            </w:r>
            <w:r w:rsidR="00F3028A" w:rsidRPr="00D64E6A">
              <w:rPr>
                <w:noProof/>
                <w:webHidden/>
              </w:rPr>
              <w:tab/>
            </w:r>
            <w:r w:rsidR="00F3028A" w:rsidRPr="00D64E6A">
              <w:rPr>
                <w:noProof/>
                <w:webHidden/>
              </w:rPr>
              <w:fldChar w:fldCharType="begin"/>
            </w:r>
            <w:r w:rsidR="00F3028A" w:rsidRPr="00D64E6A">
              <w:rPr>
                <w:noProof/>
                <w:webHidden/>
              </w:rPr>
              <w:instrText xml:space="preserve"> PAGEREF _Toc460517103 \h </w:instrText>
            </w:r>
            <w:r w:rsidR="00F3028A" w:rsidRPr="00D64E6A">
              <w:rPr>
                <w:noProof/>
                <w:webHidden/>
              </w:rPr>
            </w:r>
            <w:r w:rsidR="00F3028A" w:rsidRPr="00D64E6A">
              <w:rPr>
                <w:noProof/>
                <w:webHidden/>
              </w:rPr>
              <w:fldChar w:fldCharType="separate"/>
            </w:r>
            <w:r w:rsidR="00F3028A" w:rsidRPr="00D64E6A">
              <w:rPr>
                <w:noProof/>
                <w:webHidden/>
              </w:rPr>
              <w:t>6</w:t>
            </w:r>
            <w:r w:rsidR="00F3028A" w:rsidRPr="00D64E6A">
              <w:rPr>
                <w:noProof/>
                <w:webHidden/>
              </w:rPr>
              <w:fldChar w:fldCharType="end"/>
            </w:r>
          </w:hyperlink>
        </w:p>
        <w:p w14:paraId="2C1B8C22" w14:textId="77777777" w:rsidR="00F3028A" w:rsidRPr="00D64E6A" w:rsidRDefault="00B66263">
          <w:pPr>
            <w:pStyle w:val="TDC2"/>
            <w:rPr>
              <w:rFonts w:cstheme="minorBidi"/>
              <w:noProof/>
            </w:rPr>
          </w:pPr>
          <w:hyperlink w:anchor="_Toc460517104" w:history="1">
            <w:r w:rsidR="00F3028A" w:rsidRPr="00D64E6A">
              <w:rPr>
                <w:rStyle w:val="Hipervnculo"/>
                <w:noProof/>
              </w:rPr>
              <w:t>II. 2.3.</w:t>
            </w:r>
            <w:r w:rsidR="00F3028A" w:rsidRPr="00D64E6A">
              <w:rPr>
                <w:rFonts w:cstheme="minorBidi"/>
                <w:noProof/>
              </w:rPr>
              <w:tab/>
            </w:r>
            <w:r w:rsidR="00F3028A" w:rsidRPr="00D64E6A">
              <w:rPr>
                <w:rStyle w:val="Hipervnculo"/>
                <w:noProof/>
              </w:rPr>
              <w:t>Elaboración del Catálogo de las emisoras de radio y televisión que participarán en la cobertura de los Procesos Electorales Locales que se llevarán a cabo en 2017</w:t>
            </w:r>
            <w:r w:rsidR="00F3028A" w:rsidRPr="00D64E6A">
              <w:rPr>
                <w:noProof/>
                <w:webHidden/>
              </w:rPr>
              <w:tab/>
            </w:r>
            <w:r w:rsidR="00F3028A" w:rsidRPr="00D64E6A">
              <w:rPr>
                <w:noProof/>
                <w:webHidden/>
              </w:rPr>
              <w:fldChar w:fldCharType="begin"/>
            </w:r>
            <w:r w:rsidR="00F3028A" w:rsidRPr="00D64E6A">
              <w:rPr>
                <w:noProof/>
                <w:webHidden/>
              </w:rPr>
              <w:instrText xml:space="preserve"> PAGEREF _Toc460517104 \h </w:instrText>
            </w:r>
            <w:r w:rsidR="00F3028A" w:rsidRPr="00D64E6A">
              <w:rPr>
                <w:noProof/>
                <w:webHidden/>
              </w:rPr>
            </w:r>
            <w:r w:rsidR="00F3028A" w:rsidRPr="00D64E6A">
              <w:rPr>
                <w:noProof/>
                <w:webHidden/>
              </w:rPr>
              <w:fldChar w:fldCharType="separate"/>
            </w:r>
            <w:r w:rsidR="00F3028A" w:rsidRPr="00D64E6A">
              <w:rPr>
                <w:noProof/>
                <w:webHidden/>
              </w:rPr>
              <w:t>6</w:t>
            </w:r>
            <w:r w:rsidR="00F3028A" w:rsidRPr="00D64E6A">
              <w:rPr>
                <w:noProof/>
                <w:webHidden/>
              </w:rPr>
              <w:fldChar w:fldCharType="end"/>
            </w:r>
          </w:hyperlink>
        </w:p>
        <w:p w14:paraId="2C1B8C23" w14:textId="77777777" w:rsidR="00F3028A" w:rsidRPr="00D64E6A" w:rsidRDefault="00B66263">
          <w:pPr>
            <w:pStyle w:val="TDC2"/>
            <w:rPr>
              <w:rFonts w:cstheme="minorBidi"/>
              <w:noProof/>
            </w:rPr>
          </w:pPr>
          <w:hyperlink w:anchor="_Toc460517105" w:history="1">
            <w:r w:rsidR="00F3028A" w:rsidRPr="00D64E6A">
              <w:rPr>
                <w:rStyle w:val="Hipervnculo"/>
                <w:noProof/>
              </w:rPr>
              <w:t>II. 2.4.</w:t>
            </w:r>
            <w:r w:rsidR="00F3028A" w:rsidRPr="00D64E6A">
              <w:rPr>
                <w:rFonts w:cstheme="minorBidi"/>
                <w:noProof/>
              </w:rPr>
              <w:tab/>
            </w:r>
            <w:r w:rsidR="00F3028A" w:rsidRPr="00D64E6A">
              <w:rPr>
                <w:rStyle w:val="Hipervnculo"/>
                <w:noProof/>
              </w:rPr>
              <w:t>Aprobar el Acuerdo por el que se establecen los términos y condiciones para la entrega de materiales por parte de los partidos políticos, candidatos/as independientes y autoridades electorales</w:t>
            </w:r>
            <w:r w:rsidR="00F3028A" w:rsidRPr="00D64E6A">
              <w:rPr>
                <w:noProof/>
                <w:webHidden/>
              </w:rPr>
              <w:tab/>
            </w:r>
            <w:r w:rsidR="00F3028A" w:rsidRPr="00D64E6A">
              <w:rPr>
                <w:noProof/>
                <w:webHidden/>
              </w:rPr>
              <w:fldChar w:fldCharType="begin"/>
            </w:r>
            <w:r w:rsidR="00F3028A" w:rsidRPr="00D64E6A">
              <w:rPr>
                <w:noProof/>
                <w:webHidden/>
              </w:rPr>
              <w:instrText xml:space="preserve"> PAGEREF _Toc460517105 \h </w:instrText>
            </w:r>
            <w:r w:rsidR="00F3028A" w:rsidRPr="00D64E6A">
              <w:rPr>
                <w:noProof/>
                <w:webHidden/>
              </w:rPr>
            </w:r>
            <w:r w:rsidR="00F3028A" w:rsidRPr="00D64E6A">
              <w:rPr>
                <w:noProof/>
                <w:webHidden/>
              </w:rPr>
              <w:fldChar w:fldCharType="separate"/>
            </w:r>
            <w:r w:rsidR="00F3028A" w:rsidRPr="00D64E6A">
              <w:rPr>
                <w:noProof/>
                <w:webHidden/>
              </w:rPr>
              <w:t>7</w:t>
            </w:r>
            <w:r w:rsidR="00F3028A" w:rsidRPr="00D64E6A">
              <w:rPr>
                <w:noProof/>
                <w:webHidden/>
              </w:rPr>
              <w:fldChar w:fldCharType="end"/>
            </w:r>
          </w:hyperlink>
        </w:p>
        <w:p w14:paraId="2C1B8C24" w14:textId="77777777" w:rsidR="00F3028A" w:rsidRPr="00D64E6A" w:rsidRDefault="00B66263">
          <w:pPr>
            <w:pStyle w:val="TDC2"/>
            <w:rPr>
              <w:rFonts w:cstheme="minorBidi"/>
              <w:noProof/>
            </w:rPr>
          </w:pPr>
          <w:hyperlink w:anchor="_Toc460517106" w:history="1">
            <w:r w:rsidR="00F3028A" w:rsidRPr="00D64E6A">
              <w:rPr>
                <w:rStyle w:val="Hipervnculo"/>
                <w:noProof/>
              </w:rPr>
              <w:t>II.3.</w:t>
            </w:r>
            <w:r w:rsidR="00F3028A" w:rsidRPr="00D64E6A">
              <w:rPr>
                <w:rFonts w:cstheme="minorBidi"/>
                <w:noProof/>
              </w:rPr>
              <w:tab/>
            </w:r>
            <w:r w:rsidR="00F3028A" w:rsidRPr="00D64E6A">
              <w:rPr>
                <w:rStyle w:val="Hipervnculo"/>
                <w:noProof/>
              </w:rPr>
              <w:t>REGULACIONES DE PERIODO ORDINARIO</w:t>
            </w:r>
            <w:r w:rsidR="00F3028A" w:rsidRPr="00D64E6A">
              <w:rPr>
                <w:noProof/>
                <w:webHidden/>
              </w:rPr>
              <w:tab/>
            </w:r>
            <w:r w:rsidR="00F3028A" w:rsidRPr="00D64E6A">
              <w:rPr>
                <w:noProof/>
                <w:webHidden/>
              </w:rPr>
              <w:fldChar w:fldCharType="begin"/>
            </w:r>
            <w:r w:rsidR="00F3028A" w:rsidRPr="00D64E6A">
              <w:rPr>
                <w:noProof/>
                <w:webHidden/>
              </w:rPr>
              <w:instrText xml:space="preserve"> PAGEREF _Toc460517106 \h </w:instrText>
            </w:r>
            <w:r w:rsidR="00F3028A" w:rsidRPr="00D64E6A">
              <w:rPr>
                <w:noProof/>
                <w:webHidden/>
              </w:rPr>
            </w:r>
            <w:r w:rsidR="00F3028A" w:rsidRPr="00D64E6A">
              <w:rPr>
                <w:noProof/>
                <w:webHidden/>
              </w:rPr>
              <w:fldChar w:fldCharType="separate"/>
            </w:r>
            <w:r w:rsidR="00F3028A" w:rsidRPr="00D64E6A">
              <w:rPr>
                <w:noProof/>
                <w:webHidden/>
              </w:rPr>
              <w:t>8</w:t>
            </w:r>
            <w:r w:rsidR="00F3028A" w:rsidRPr="00D64E6A">
              <w:rPr>
                <w:noProof/>
                <w:webHidden/>
              </w:rPr>
              <w:fldChar w:fldCharType="end"/>
            </w:r>
          </w:hyperlink>
        </w:p>
        <w:p w14:paraId="2C1B8C25" w14:textId="77777777" w:rsidR="00F3028A" w:rsidRPr="00D64E6A" w:rsidRDefault="00B66263">
          <w:pPr>
            <w:pStyle w:val="TDC2"/>
            <w:rPr>
              <w:rFonts w:cstheme="minorBidi"/>
              <w:noProof/>
            </w:rPr>
          </w:pPr>
          <w:hyperlink w:anchor="_Toc460517107" w:history="1">
            <w:r w:rsidR="00F3028A" w:rsidRPr="00D64E6A">
              <w:rPr>
                <w:rStyle w:val="Hipervnculo"/>
                <w:noProof/>
              </w:rPr>
              <w:t>II.3.1.</w:t>
            </w:r>
            <w:r w:rsidR="00F3028A" w:rsidRPr="00D64E6A">
              <w:rPr>
                <w:rFonts w:cstheme="minorBidi"/>
                <w:noProof/>
              </w:rPr>
              <w:tab/>
            </w:r>
            <w:r w:rsidR="00F3028A" w:rsidRPr="00D64E6A">
              <w:rPr>
                <w:rStyle w:val="Hipervnculo"/>
                <w:noProof/>
              </w:rPr>
              <w:t>Aprobación de las pautas de transmisión correspondientes a los mensajes de los partidos políticos en periodo ordinario</w:t>
            </w:r>
            <w:r w:rsidR="00F3028A" w:rsidRPr="00D64E6A">
              <w:rPr>
                <w:noProof/>
                <w:webHidden/>
              </w:rPr>
              <w:tab/>
            </w:r>
            <w:r w:rsidR="00F3028A" w:rsidRPr="00D64E6A">
              <w:rPr>
                <w:noProof/>
                <w:webHidden/>
              </w:rPr>
              <w:fldChar w:fldCharType="begin"/>
            </w:r>
            <w:r w:rsidR="00F3028A" w:rsidRPr="00D64E6A">
              <w:rPr>
                <w:noProof/>
                <w:webHidden/>
              </w:rPr>
              <w:instrText xml:space="preserve"> PAGEREF _Toc460517107 \h </w:instrText>
            </w:r>
            <w:r w:rsidR="00F3028A" w:rsidRPr="00D64E6A">
              <w:rPr>
                <w:noProof/>
                <w:webHidden/>
              </w:rPr>
            </w:r>
            <w:r w:rsidR="00F3028A" w:rsidRPr="00D64E6A">
              <w:rPr>
                <w:noProof/>
                <w:webHidden/>
              </w:rPr>
              <w:fldChar w:fldCharType="separate"/>
            </w:r>
            <w:r w:rsidR="00F3028A" w:rsidRPr="00D64E6A">
              <w:rPr>
                <w:noProof/>
                <w:webHidden/>
              </w:rPr>
              <w:t>8</w:t>
            </w:r>
            <w:r w:rsidR="00F3028A" w:rsidRPr="00D64E6A">
              <w:rPr>
                <w:noProof/>
                <w:webHidden/>
              </w:rPr>
              <w:fldChar w:fldCharType="end"/>
            </w:r>
          </w:hyperlink>
        </w:p>
        <w:p w14:paraId="2C1B8C26" w14:textId="77777777" w:rsidR="00F3028A" w:rsidRPr="00D64E6A" w:rsidRDefault="00B66263">
          <w:pPr>
            <w:pStyle w:val="TDC2"/>
            <w:rPr>
              <w:rFonts w:cstheme="minorBidi"/>
              <w:noProof/>
            </w:rPr>
          </w:pPr>
          <w:hyperlink w:anchor="_Toc460517108" w:history="1">
            <w:r w:rsidR="00F3028A" w:rsidRPr="00D64E6A">
              <w:rPr>
                <w:rStyle w:val="Hipervnculo"/>
                <w:noProof/>
              </w:rPr>
              <w:t>II.3.2.</w:t>
            </w:r>
            <w:r w:rsidR="00F3028A" w:rsidRPr="00D64E6A">
              <w:rPr>
                <w:rFonts w:cstheme="minorBidi"/>
                <w:noProof/>
              </w:rPr>
              <w:tab/>
            </w:r>
            <w:r w:rsidR="00F3028A" w:rsidRPr="00D64E6A">
              <w:rPr>
                <w:rStyle w:val="Hipervnculo"/>
                <w:noProof/>
              </w:rPr>
              <w:t>Sorteos semestrales para la asignación de los mensajes de los partidos políticos dentro de las pautas de periodo ordinario</w:t>
            </w:r>
            <w:r w:rsidR="00F3028A" w:rsidRPr="00D64E6A">
              <w:rPr>
                <w:noProof/>
                <w:webHidden/>
              </w:rPr>
              <w:tab/>
            </w:r>
            <w:r w:rsidR="00F3028A" w:rsidRPr="00D64E6A">
              <w:rPr>
                <w:noProof/>
                <w:webHidden/>
              </w:rPr>
              <w:fldChar w:fldCharType="begin"/>
            </w:r>
            <w:r w:rsidR="00F3028A" w:rsidRPr="00D64E6A">
              <w:rPr>
                <w:noProof/>
                <w:webHidden/>
              </w:rPr>
              <w:instrText xml:space="preserve"> PAGEREF _Toc460517108 \h </w:instrText>
            </w:r>
            <w:r w:rsidR="00F3028A" w:rsidRPr="00D64E6A">
              <w:rPr>
                <w:noProof/>
                <w:webHidden/>
              </w:rPr>
            </w:r>
            <w:r w:rsidR="00F3028A" w:rsidRPr="00D64E6A">
              <w:rPr>
                <w:noProof/>
                <w:webHidden/>
              </w:rPr>
              <w:fldChar w:fldCharType="separate"/>
            </w:r>
            <w:r w:rsidR="00F3028A" w:rsidRPr="00D64E6A">
              <w:rPr>
                <w:noProof/>
                <w:webHidden/>
              </w:rPr>
              <w:t>11</w:t>
            </w:r>
            <w:r w:rsidR="00F3028A" w:rsidRPr="00D64E6A">
              <w:rPr>
                <w:noProof/>
                <w:webHidden/>
              </w:rPr>
              <w:fldChar w:fldCharType="end"/>
            </w:r>
          </w:hyperlink>
        </w:p>
        <w:p w14:paraId="2C1B8C27" w14:textId="77777777" w:rsidR="00F3028A" w:rsidRPr="00D64E6A" w:rsidRDefault="00B66263">
          <w:pPr>
            <w:pStyle w:val="TDC2"/>
            <w:rPr>
              <w:rFonts w:cstheme="minorBidi"/>
              <w:noProof/>
            </w:rPr>
          </w:pPr>
          <w:hyperlink w:anchor="_Toc460517109" w:history="1">
            <w:r w:rsidR="00F3028A" w:rsidRPr="00D64E6A">
              <w:rPr>
                <w:rStyle w:val="Hipervnculo"/>
                <w:noProof/>
              </w:rPr>
              <w:t>II.4.</w:t>
            </w:r>
            <w:r w:rsidR="00F3028A" w:rsidRPr="00D64E6A">
              <w:rPr>
                <w:rFonts w:cstheme="minorBidi"/>
                <w:noProof/>
              </w:rPr>
              <w:tab/>
            </w:r>
            <w:r w:rsidR="00F3028A" w:rsidRPr="00D64E6A">
              <w:rPr>
                <w:rStyle w:val="Hipervnculo"/>
                <w:noProof/>
              </w:rPr>
              <w:t>VINCULACIÓN CON EL INSTITUTO FEDERAL DE TELECOMUNICACIONES</w:t>
            </w:r>
            <w:r w:rsidR="00F3028A" w:rsidRPr="00D64E6A">
              <w:rPr>
                <w:noProof/>
                <w:webHidden/>
              </w:rPr>
              <w:tab/>
            </w:r>
            <w:r w:rsidR="00F3028A" w:rsidRPr="00D64E6A">
              <w:rPr>
                <w:noProof/>
                <w:webHidden/>
              </w:rPr>
              <w:fldChar w:fldCharType="begin"/>
            </w:r>
            <w:r w:rsidR="00F3028A" w:rsidRPr="00D64E6A">
              <w:rPr>
                <w:noProof/>
                <w:webHidden/>
              </w:rPr>
              <w:instrText xml:space="preserve"> PAGEREF _Toc460517109 \h </w:instrText>
            </w:r>
            <w:r w:rsidR="00F3028A" w:rsidRPr="00D64E6A">
              <w:rPr>
                <w:noProof/>
                <w:webHidden/>
              </w:rPr>
            </w:r>
            <w:r w:rsidR="00F3028A" w:rsidRPr="00D64E6A">
              <w:rPr>
                <w:noProof/>
                <w:webHidden/>
              </w:rPr>
              <w:fldChar w:fldCharType="separate"/>
            </w:r>
            <w:r w:rsidR="00F3028A" w:rsidRPr="00D64E6A">
              <w:rPr>
                <w:noProof/>
                <w:webHidden/>
              </w:rPr>
              <w:t>12</w:t>
            </w:r>
            <w:r w:rsidR="00F3028A" w:rsidRPr="00D64E6A">
              <w:rPr>
                <w:noProof/>
                <w:webHidden/>
              </w:rPr>
              <w:fldChar w:fldCharType="end"/>
            </w:r>
          </w:hyperlink>
        </w:p>
        <w:p w14:paraId="2C1B8C28" w14:textId="77777777" w:rsidR="00F3028A" w:rsidRPr="00D64E6A" w:rsidRDefault="00B66263">
          <w:pPr>
            <w:pStyle w:val="TDC2"/>
            <w:rPr>
              <w:rFonts w:cstheme="minorBidi"/>
              <w:noProof/>
            </w:rPr>
          </w:pPr>
          <w:hyperlink w:anchor="_Toc460517110" w:history="1">
            <w:r w:rsidR="00F3028A" w:rsidRPr="00D64E6A">
              <w:rPr>
                <w:rStyle w:val="Hipervnculo"/>
                <w:noProof/>
              </w:rPr>
              <w:t>II.4.1.</w:t>
            </w:r>
            <w:r w:rsidR="00F3028A" w:rsidRPr="00D64E6A">
              <w:rPr>
                <w:rFonts w:cstheme="minorBidi"/>
                <w:noProof/>
              </w:rPr>
              <w:tab/>
            </w:r>
            <w:r w:rsidR="00F3028A" w:rsidRPr="00D64E6A">
              <w:rPr>
                <w:rStyle w:val="Hipervnculo"/>
                <w:noProof/>
              </w:rPr>
              <w:t>Agenda de trabajo con el Instituto Federal de Telecomunicaciones</w:t>
            </w:r>
            <w:r w:rsidR="00F3028A" w:rsidRPr="00D64E6A">
              <w:rPr>
                <w:noProof/>
                <w:webHidden/>
              </w:rPr>
              <w:tab/>
            </w:r>
            <w:r w:rsidR="00F3028A" w:rsidRPr="00D64E6A">
              <w:rPr>
                <w:noProof/>
                <w:webHidden/>
              </w:rPr>
              <w:fldChar w:fldCharType="begin"/>
            </w:r>
            <w:r w:rsidR="00F3028A" w:rsidRPr="00D64E6A">
              <w:rPr>
                <w:noProof/>
                <w:webHidden/>
              </w:rPr>
              <w:instrText xml:space="preserve"> PAGEREF _Toc460517110 \h </w:instrText>
            </w:r>
            <w:r w:rsidR="00F3028A" w:rsidRPr="00D64E6A">
              <w:rPr>
                <w:noProof/>
                <w:webHidden/>
              </w:rPr>
            </w:r>
            <w:r w:rsidR="00F3028A" w:rsidRPr="00D64E6A">
              <w:rPr>
                <w:noProof/>
                <w:webHidden/>
              </w:rPr>
              <w:fldChar w:fldCharType="separate"/>
            </w:r>
            <w:r w:rsidR="00F3028A" w:rsidRPr="00D64E6A">
              <w:rPr>
                <w:noProof/>
                <w:webHidden/>
              </w:rPr>
              <w:t>12</w:t>
            </w:r>
            <w:r w:rsidR="00F3028A" w:rsidRPr="00D64E6A">
              <w:rPr>
                <w:noProof/>
                <w:webHidden/>
              </w:rPr>
              <w:fldChar w:fldCharType="end"/>
            </w:r>
          </w:hyperlink>
        </w:p>
        <w:p w14:paraId="2C1B8C29" w14:textId="77777777" w:rsidR="00F3028A" w:rsidRPr="00D64E6A" w:rsidRDefault="00B66263">
          <w:pPr>
            <w:pStyle w:val="TDC2"/>
            <w:rPr>
              <w:rFonts w:cstheme="minorBidi"/>
              <w:noProof/>
            </w:rPr>
          </w:pPr>
          <w:hyperlink w:anchor="_Toc460517111" w:history="1">
            <w:r w:rsidR="00F3028A" w:rsidRPr="00D64E6A">
              <w:rPr>
                <w:rStyle w:val="Hipervnculo"/>
                <w:noProof/>
              </w:rPr>
              <w:t>II.4.2.</w:t>
            </w:r>
            <w:r w:rsidR="00F3028A" w:rsidRPr="00D64E6A">
              <w:rPr>
                <w:rFonts w:cstheme="minorBidi"/>
                <w:noProof/>
              </w:rPr>
              <w:tab/>
            </w:r>
            <w:r w:rsidR="00F3028A" w:rsidRPr="00D64E6A">
              <w:rPr>
                <w:rStyle w:val="Hipervnculo"/>
                <w:noProof/>
              </w:rPr>
              <w:t>Recibir del Instituto Federal de Telecomunicaciones los mapas de cobertura y declarar la actualización y vigencia del marco geográfico electoral relativo a los mapas de cobertura de todas las estaciones de radio y canales de televisión</w:t>
            </w:r>
            <w:r w:rsidR="00F3028A" w:rsidRPr="00D64E6A">
              <w:rPr>
                <w:noProof/>
                <w:webHidden/>
              </w:rPr>
              <w:tab/>
            </w:r>
            <w:r w:rsidR="00F3028A" w:rsidRPr="00D64E6A">
              <w:rPr>
                <w:noProof/>
                <w:webHidden/>
              </w:rPr>
              <w:fldChar w:fldCharType="begin"/>
            </w:r>
            <w:r w:rsidR="00F3028A" w:rsidRPr="00D64E6A">
              <w:rPr>
                <w:noProof/>
                <w:webHidden/>
              </w:rPr>
              <w:instrText xml:space="preserve"> PAGEREF _Toc460517111 \h </w:instrText>
            </w:r>
            <w:r w:rsidR="00F3028A" w:rsidRPr="00D64E6A">
              <w:rPr>
                <w:noProof/>
                <w:webHidden/>
              </w:rPr>
            </w:r>
            <w:r w:rsidR="00F3028A" w:rsidRPr="00D64E6A">
              <w:rPr>
                <w:noProof/>
                <w:webHidden/>
              </w:rPr>
              <w:fldChar w:fldCharType="separate"/>
            </w:r>
            <w:r w:rsidR="00F3028A" w:rsidRPr="00D64E6A">
              <w:rPr>
                <w:noProof/>
                <w:webHidden/>
              </w:rPr>
              <w:t>13</w:t>
            </w:r>
            <w:r w:rsidR="00F3028A" w:rsidRPr="00D64E6A">
              <w:rPr>
                <w:noProof/>
                <w:webHidden/>
              </w:rPr>
              <w:fldChar w:fldCharType="end"/>
            </w:r>
          </w:hyperlink>
        </w:p>
        <w:p w14:paraId="2C1B8C2A" w14:textId="77777777" w:rsidR="00F3028A" w:rsidRPr="00D64E6A" w:rsidRDefault="00B66263">
          <w:pPr>
            <w:pStyle w:val="TDC2"/>
            <w:rPr>
              <w:rFonts w:cstheme="minorBidi"/>
              <w:noProof/>
            </w:rPr>
          </w:pPr>
          <w:hyperlink w:anchor="_Toc460517112" w:history="1">
            <w:r w:rsidR="00F3028A" w:rsidRPr="00D64E6A">
              <w:rPr>
                <w:rStyle w:val="Hipervnculo"/>
                <w:noProof/>
              </w:rPr>
              <w:t>II.5.</w:t>
            </w:r>
            <w:r w:rsidR="00F3028A" w:rsidRPr="00D64E6A">
              <w:rPr>
                <w:rFonts w:cstheme="minorBidi"/>
                <w:noProof/>
              </w:rPr>
              <w:tab/>
            </w:r>
            <w:r w:rsidR="00F3028A" w:rsidRPr="00D64E6A">
              <w:rPr>
                <w:rStyle w:val="Hipervnculo"/>
                <w:noProof/>
              </w:rPr>
              <w:t>CONOCER LOS INFORMES DE VERIFICACIÓN DE TRANSMISIONES DE LOS PROMOCIONALES DE LOS PARTIDOS POLÍTICOS, Y DE REQUERIMIENTOS POR PRESUNTOS INCUMPLIMIENTOS A LOS PAUTADOS</w:t>
            </w:r>
            <w:r w:rsidR="00F3028A" w:rsidRPr="00D64E6A">
              <w:rPr>
                <w:noProof/>
                <w:webHidden/>
              </w:rPr>
              <w:tab/>
            </w:r>
            <w:r w:rsidR="00F3028A" w:rsidRPr="00D64E6A">
              <w:rPr>
                <w:noProof/>
                <w:webHidden/>
              </w:rPr>
              <w:fldChar w:fldCharType="begin"/>
            </w:r>
            <w:r w:rsidR="00F3028A" w:rsidRPr="00D64E6A">
              <w:rPr>
                <w:noProof/>
                <w:webHidden/>
              </w:rPr>
              <w:instrText xml:space="preserve"> PAGEREF _Toc460517112 \h </w:instrText>
            </w:r>
            <w:r w:rsidR="00F3028A" w:rsidRPr="00D64E6A">
              <w:rPr>
                <w:noProof/>
                <w:webHidden/>
              </w:rPr>
            </w:r>
            <w:r w:rsidR="00F3028A" w:rsidRPr="00D64E6A">
              <w:rPr>
                <w:noProof/>
                <w:webHidden/>
              </w:rPr>
              <w:fldChar w:fldCharType="separate"/>
            </w:r>
            <w:r w:rsidR="00F3028A" w:rsidRPr="00D64E6A">
              <w:rPr>
                <w:noProof/>
                <w:webHidden/>
              </w:rPr>
              <w:t>14</w:t>
            </w:r>
            <w:r w:rsidR="00F3028A" w:rsidRPr="00D64E6A">
              <w:rPr>
                <w:noProof/>
                <w:webHidden/>
              </w:rPr>
              <w:fldChar w:fldCharType="end"/>
            </w:r>
          </w:hyperlink>
        </w:p>
        <w:p w14:paraId="2C1B8C2B" w14:textId="77777777" w:rsidR="00F3028A" w:rsidRPr="00D64E6A" w:rsidRDefault="00B66263">
          <w:pPr>
            <w:pStyle w:val="TDC2"/>
            <w:rPr>
              <w:rFonts w:cstheme="minorBidi"/>
              <w:noProof/>
            </w:rPr>
          </w:pPr>
          <w:hyperlink w:anchor="_Toc460517113" w:history="1">
            <w:r w:rsidR="00F3028A" w:rsidRPr="00D64E6A">
              <w:rPr>
                <w:rStyle w:val="Hipervnculo"/>
                <w:noProof/>
              </w:rPr>
              <w:t>II.6.</w:t>
            </w:r>
            <w:r w:rsidR="00F3028A" w:rsidRPr="00D64E6A">
              <w:rPr>
                <w:rFonts w:cstheme="minorBidi"/>
                <w:noProof/>
              </w:rPr>
              <w:tab/>
            </w:r>
            <w:r w:rsidR="00F3028A" w:rsidRPr="00D64E6A">
              <w:rPr>
                <w:rStyle w:val="Hipervnculo"/>
                <w:noProof/>
              </w:rPr>
              <w:t>RESOLVER LAS CONSULTAS SOBRE LA APLICACIÓN DE LAS DISPOSICIONES DE LA LEY Y EL REGLAMENTO</w:t>
            </w:r>
            <w:r w:rsidR="00F3028A" w:rsidRPr="00D64E6A">
              <w:rPr>
                <w:noProof/>
                <w:webHidden/>
              </w:rPr>
              <w:tab/>
            </w:r>
            <w:r w:rsidR="00F3028A" w:rsidRPr="00D64E6A">
              <w:rPr>
                <w:noProof/>
                <w:webHidden/>
              </w:rPr>
              <w:fldChar w:fldCharType="begin"/>
            </w:r>
            <w:r w:rsidR="00F3028A" w:rsidRPr="00D64E6A">
              <w:rPr>
                <w:noProof/>
                <w:webHidden/>
              </w:rPr>
              <w:instrText xml:space="preserve"> PAGEREF _Toc460517113 \h </w:instrText>
            </w:r>
            <w:r w:rsidR="00F3028A" w:rsidRPr="00D64E6A">
              <w:rPr>
                <w:noProof/>
                <w:webHidden/>
              </w:rPr>
            </w:r>
            <w:r w:rsidR="00F3028A" w:rsidRPr="00D64E6A">
              <w:rPr>
                <w:noProof/>
                <w:webHidden/>
              </w:rPr>
              <w:fldChar w:fldCharType="separate"/>
            </w:r>
            <w:r w:rsidR="00F3028A" w:rsidRPr="00D64E6A">
              <w:rPr>
                <w:noProof/>
                <w:webHidden/>
              </w:rPr>
              <w:t>15</w:t>
            </w:r>
            <w:r w:rsidR="00F3028A" w:rsidRPr="00D64E6A">
              <w:rPr>
                <w:noProof/>
                <w:webHidden/>
              </w:rPr>
              <w:fldChar w:fldCharType="end"/>
            </w:r>
          </w:hyperlink>
        </w:p>
        <w:p w14:paraId="2C1B8C2C" w14:textId="77777777" w:rsidR="00F3028A" w:rsidRPr="00D64E6A" w:rsidRDefault="00B66263">
          <w:pPr>
            <w:pStyle w:val="TDC2"/>
            <w:rPr>
              <w:rFonts w:cstheme="minorBidi"/>
              <w:noProof/>
            </w:rPr>
          </w:pPr>
          <w:hyperlink w:anchor="_Toc460517114" w:history="1">
            <w:r w:rsidR="00F3028A" w:rsidRPr="00D64E6A">
              <w:rPr>
                <w:rStyle w:val="Hipervnculo"/>
                <w:noProof/>
              </w:rPr>
              <w:t>II.7.</w:t>
            </w:r>
            <w:r w:rsidR="00F3028A" w:rsidRPr="00D64E6A">
              <w:rPr>
                <w:rFonts w:cstheme="minorBidi"/>
                <w:noProof/>
              </w:rPr>
              <w:tab/>
            </w:r>
            <w:r w:rsidR="00F3028A" w:rsidRPr="00D64E6A">
              <w:rPr>
                <w:rStyle w:val="Hipervnculo"/>
                <w:noProof/>
              </w:rPr>
              <w:t>ANÁLISIS DE LA COBERTURA DE LOS PROCESOS ELECTORALES DE 2014-2015</w:t>
            </w:r>
            <w:r w:rsidR="00F3028A" w:rsidRPr="00D64E6A">
              <w:rPr>
                <w:noProof/>
                <w:webHidden/>
              </w:rPr>
              <w:tab/>
            </w:r>
            <w:r w:rsidR="00F3028A" w:rsidRPr="00D64E6A">
              <w:rPr>
                <w:noProof/>
                <w:webHidden/>
              </w:rPr>
              <w:fldChar w:fldCharType="begin"/>
            </w:r>
            <w:r w:rsidR="00F3028A" w:rsidRPr="00D64E6A">
              <w:rPr>
                <w:noProof/>
                <w:webHidden/>
              </w:rPr>
              <w:instrText xml:space="preserve"> PAGEREF _Toc460517114 \h </w:instrText>
            </w:r>
            <w:r w:rsidR="00F3028A" w:rsidRPr="00D64E6A">
              <w:rPr>
                <w:noProof/>
                <w:webHidden/>
              </w:rPr>
            </w:r>
            <w:r w:rsidR="00F3028A" w:rsidRPr="00D64E6A">
              <w:rPr>
                <w:noProof/>
                <w:webHidden/>
              </w:rPr>
              <w:fldChar w:fldCharType="separate"/>
            </w:r>
            <w:r w:rsidR="00F3028A" w:rsidRPr="00D64E6A">
              <w:rPr>
                <w:noProof/>
                <w:webHidden/>
              </w:rPr>
              <w:t>16</w:t>
            </w:r>
            <w:r w:rsidR="00F3028A" w:rsidRPr="00D64E6A">
              <w:rPr>
                <w:noProof/>
                <w:webHidden/>
              </w:rPr>
              <w:fldChar w:fldCharType="end"/>
            </w:r>
          </w:hyperlink>
        </w:p>
        <w:p w14:paraId="2C1B8C2D" w14:textId="77777777" w:rsidR="00F3028A" w:rsidRPr="00D64E6A" w:rsidRDefault="00B66263">
          <w:pPr>
            <w:pStyle w:val="TDC1"/>
            <w:rPr>
              <w:rFonts w:cstheme="minorBidi"/>
            </w:rPr>
          </w:pPr>
          <w:hyperlink w:anchor="_Toc460517115" w:history="1">
            <w:r w:rsidR="00F3028A" w:rsidRPr="00D64E6A">
              <w:rPr>
                <w:rStyle w:val="Hipervnculo"/>
              </w:rPr>
              <w:t>III. OTRAS ACTIVIDADES</w:t>
            </w:r>
            <w:r w:rsidR="00F3028A" w:rsidRPr="00D64E6A">
              <w:rPr>
                <w:webHidden/>
              </w:rPr>
              <w:tab/>
            </w:r>
            <w:r w:rsidR="00F3028A" w:rsidRPr="00D64E6A">
              <w:rPr>
                <w:webHidden/>
              </w:rPr>
              <w:fldChar w:fldCharType="begin"/>
            </w:r>
            <w:r w:rsidR="00F3028A" w:rsidRPr="00D64E6A">
              <w:rPr>
                <w:webHidden/>
              </w:rPr>
              <w:instrText xml:space="preserve"> PAGEREF _Toc460517115 \h </w:instrText>
            </w:r>
            <w:r w:rsidR="00F3028A" w:rsidRPr="00D64E6A">
              <w:rPr>
                <w:webHidden/>
              </w:rPr>
            </w:r>
            <w:r w:rsidR="00F3028A" w:rsidRPr="00D64E6A">
              <w:rPr>
                <w:webHidden/>
              </w:rPr>
              <w:fldChar w:fldCharType="separate"/>
            </w:r>
            <w:r w:rsidR="00F3028A" w:rsidRPr="00D64E6A">
              <w:rPr>
                <w:webHidden/>
              </w:rPr>
              <w:t>16</w:t>
            </w:r>
            <w:r w:rsidR="00F3028A" w:rsidRPr="00D64E6A">
              <w:rPr>
                <w:webHidden/>
              </w:rPr>
              <w:fldChar w:fldCharType="end"/>
            </w:r>
          </w:hyperlink>
        </w:p>
        <w:p w14:paraId="2C1B8C2E" w14:textId="77777777" w:rsidR="00F3028A" w:rsidRPr="00D64E6A" w:rsidRDefault="00B66263">
          <w:pPr>
            <w:pStyle w:val="TDC2"/>
            <w:rPr>
              <w:rFonts w:cstheme="minorBidi"/>
              <w:noProof/>
            </w:rPr>
          </w:pPr>
          <w:hyperlink w:anchor="_Toc460517116" w:history="1">
            <w:r w:rsidR="00F3028A" w:rsidRPr="00D64E6A">
              <w:rPr>
                <w:rStyle w:val="Hipervnculo"/>
                <w:noProof/>
              </w:rPr>
              <w:t>III.1.</w:t>
            </w:r>
            <w:r w:rsidR="00F3028A" w:rsidRPr="00D64E6A">
              <w:rPr>
                <w:rFonts w:cstheme="minorBidi"/>
                <w:noProof/>
              </w:rPr>
              <w:tab/>
            </w:r>
            <w:r w:rsidR="00F3028A" w:rsidRPr="00D64E6A">
              <w:rPr>
                <w:rStyle w:val="Hipervnculo"/>
                <w:noProof/>
              </w:rPr>
              <w:t>Televisión restringida</w:t>
            </w:r>
            <w:r w:rsidR="00F3028A" w:rsidRPr="00D64E6A">
              <w:rPr>
                <w:noProof/>
                <w:webHidden/>
              </w:rPr>
              <w:tab/>
            </w:r>
            <w:r w:rsidR="00F3028A" w:rsidRPr="00D64E6A">
              <w:rPr>
                <w:noProof/>
                <w:webHidden/>
              </w:rPr>
              <w:fldChar w:fldCharType="begin"/>
            </w:r>
            <w:r w:rsidR="00F3028A" w:rsidRPr="00D64E6A">
              <w:rPr>
                <w:noProof/>
                <w:webHidden/>
              </w:rPr>
              <w:instrText xml:space="preserve"> PAGEREF _Toc460517116 \h </w:instrText>
            </w:r>
            <w:r w:rsidR="00F3028A" w:rsidRPr="00D64E6A">
              <w:rPr>
                <w:noProof/>
                <w:webHidden/>
              </w:rPr>
            </w:r>
            <w:r w:rsidR="00F3028A" w:rsidRPr="00D64E6A">
              <w:rPr>
                <w:noProof/>
                <w:webHidden/>
              </w:rPr>
              <w:fldChar w:fldCharType="separate"/>
            </w:r>
            <w:r w:rsidR="00F3028A" w:rsidRPr="00D64E6A">
              <w:rPr>
                <w:noProof/>
                <w:webHidden/>
              </w:rPr>
              <w:t>16</w:t>
            </w:r>
            <w:r w:rsidR="00F3028A" w:rsidRPr="00D64E6A">
              <w:rPr>
                <w:noProof/>
                <w:webHidden/>
              </w:rPr>
              <w:fldChar w:fldCharType="end"/>
            </w:r>
          </w:hyperlink>
        </w:p>
        <w:p w14:paraId="2C1B8C2F" w14:textId="77777777" w:rsidR="00F3028A" w:rsidRPr="00D64E6A" w:rsidRDefault="00B66263">
          <w:pPr>
            <w:pStyle w:val="TDC2"/>
            <w:rPr>
              <w:rFonts w:cstheme="minorBidi"/>
              <w:noProof/>
            </w:rPr>
          </w:pPr>
          <w:hyperlink w:anchor="_Toc460517117" w:history="1">
            <w:r w:rsidR="00F3028A" w:rsidRPr="00D64E6A">
              <w:rPr>
                <w:rStyle w:val="Hipervnculo"/>
                <w:noProof/>
              </w:rPr>
              <w:t>III.1.1.</w:t>
            </w:r>
            <w:r w:rsidR="00F3028A" w:rsidRPr="00D64E6A">
              <w:rPr>
                <w:rFonts w:cstheme="minorBidi"/>
                <w:noProof/>
              </w:rPr>
              <w:tab/>
            </w:r>
            <w:r w:rsidR="00F3028A" w:rsidRPr="00D64E6A">
              <w:rPr>
                <w:rStyle w:val="Hipervnculo"/>
                <w:noProof/>
              </w:rPr>
              <w:t>Pautas de televisión restringida</w:t>
            </w:r>
            <w:r w:rsidR="00F3028A" w:rsidRPr="00D64E6A">
              <w:rPr>
                <w:noProof/>
                <w:webHidden/>
              </w:rPr>
              <w:tab/>
            </w:r>
            <w:r w:rsidR="00F3028A" w:rsidRPr="00D64E6A">
              <w:rPr>
                <w:noProof/>
                <w:webHidden/>
              </w:rPr>
              <w:fldChar w:fldCharType="begin"/>
            </w:r>
            <w:r w:rsidR="00F3028A" w:rsidRPr="00D64E6A">
              <w:rPr>
                <w:noProof/>
                <w:webHidden/>
              </w:rPr>
              <w:instrText xml:space="preserve"> PAGEREF _Toc460517117 \h </w:instrText>
            </w:r>
            <w:r w:rsidR="00F3028A" w:rsidRPr="00D64E6A">
              <w:rPr>
                <w:noProof/>
                <w:webHidden/>
              </w:rPr>
            </w:r>
            <w:r w:rsidR="00F3028A" w:rsidRPr="00D64E6A">
              <w:rPr>
                <w:noProof/>
                <w:webHidden/>
              </w:rPr>
              <w:fldChar w:fldCharType="separate"/>
            </w:r>
            <w:r w:rsidR="00F3028A" w:rsidRPr="00D64E6A">
              <w:rPr>
                <w:noProof/>
                <w:webHidden/>
              </w:rPr>
              <w:t>16</w:t>
            </w:r>
            <w:r w:rsidR="00F3028A" w:rsidRPr="00D64E6A">
              <w:rPr>
                <w:noProof/>
                <w:webHidden/>
              </w:rPr>
              <w:fldChar w:fldCharType="end"/>
            </w:r>
          </w:hyperlink>
        </w:p>
        <w:p w14:paraId="2C1B8C30" w14:textId="77777777" w:rsidR="00F3028A" w:rsidRPr="00D64E6A" w:rsidRDefault="00B66263">
          <w:pPr>
            <w:pStyle w:val="TDC2"/>
            <w:rPr>
              <w:rFonts w:cstheme="minorBidi"/>
              <w:noProof/>
            </w:rPr>
          </w:pPr>
          <w:hyperlink w:anchor="_Toc460517118" w:history="1">
            <w:r w:rsidR="00F3028A" w:rsidRPr="00D64E6A">
              <w:rPr>
                <w:rStyle w:val="Hipervnculo"/>
                <w:noProof/>
              </w:rPr>
              <w:t>III.1.2</w:t>
            </w:r>
            <w:r w:rsidR="00F3028A" w:rsidRPr="00D64E6A">
              <w:rPr>
                <w:rFonts w:cstheme="minorBidi"/>
                <w:noProof/>
              </w:rPr>
              <w:tab/>
            </w:r>
            <w:r w:rsidR="00F3028A" w:rsidRPr="00D64E6A">
              <w:rPr>
                <w:rStyle w:val="Hipervnculo"/>
                <w:noProof/>
              </w:rPr>
              <w:t>Monitoreo de televisión restringida</w:t>
            </w:r>
            <w:r w:rsidR="00F3028A" w:rsidRPr="00D64E6A">
              <w:rPr>
                <w:noProof/>
                <w:webHidden/>
              </w:rPr>
              <w:tab/>
            </w:r>
            <w:r w:rsidR="00F3028A" w:rsidRPr="00D64E6A">
              <w:rPr>
                <w:noProof/>
                <w:webHidden/>
              </w:rPr>
              <w:fldChar w:fldCharType="begin"/>
            </w:r>
            <w:r w:rsidR="00F3028A" w:rsidRPr="00D64E6A">
              <w:rPr>
                <w:noProof/>
                <w:webHidden/>
              </w:rPr>
              <w:instrText xml:space="preserve"> PAGEREF _Toc460517118 \h </w:instrText>
            </w:r>
            <w:r w:rsidR="00F3028A" w:rsidRPr="00D64E6A">
              <w:rPr>
                <w:noProof/>
                <w:webHidden/>
              </w:rPr>
            </w:r>
            <w:r w:rsidR="00F3028A" w:rsidRPr="00D64E6A">
              <w:rPr>
                <w:noProof/>
                <w:webHidden/>
              </w:rPr>
              <w:fldChar w:fldCharType="separate"/>
            </w:r>
            <w:r w:rsidR="00F3028A" w:rsidRPr="00D64E6A">
              <w:rPr>
                <w:noProof/>
                <w:webHidden/>
              </w:rPr>
              <w:t>17</w:t>
            </w:r>
            <w:r w:rsidR="00F3028A" w:rsidRPr="00D64E6A">
              <w:rPr>
                <w:noProof/>
                <w:webHidden/>
              </w:rPr>
              <w:fldChar w:fldCharType="end"/>
            </w:r>
          </w:hyperlink>
        </w:p>
        <w:p w14:paraId="2C1B8C31" w14:textId="77777777" w:rsidR="00F3028A" w:rsidRPr="00D64E6A" w:rsidRDefault="00B66263">
          <w:pPr>
            <w:pStyle w:val="TDC2"/>
            <w:rPr>
              <w:rFonts w:cstheme="minorBidi"/>
              <w:noProof/>
            </w:rPr>
          </w:pPr>
          <w:hyperlink w:anchor="_Toc460517119" w:history="1">
            <w:r w:rsidR="00F3028A" w:rsidRPr="00D64E6A">
              <w:rPr>
                <w:rStyle w:val="Hipervnculo"/>
                <w:noProof/>
              </w:rPr>
              <w:t>III.1.3.</w:t>
            </w:r>
            <w:r w:rsidR="00F3028A" w:rsidRPr="00D64E6A">
              <w:rPr>
                <w:rFonts w:cstheme="minorBidi"/>
                <w:noProof/>
              </w:rPr>
              <w:tab/>
            </w:r>
            <w:r w:rsidR="00F3028A" w:rsidRPr="00D64E6A">
              <w:rPr>
                <w:rStyle w:val="Hipervnculo"/>
                <w:noProof/>
              </w:rPr>
              <w:t>Requerimientos a concesionarios de televisión restringida</w:t>
            </w:r>
            <w:r w:rsidR="00F3028A" w:rsidRPr="00D64E6A">
              <w:rPr>
                <w:noProof/>
                <w:webHidden/>
              </w:rPr>
              <w:tab/>
            </w:r>
            <w:r w:rsidR="00F3028A" w:rsidRPr="00D64E6A">
              <w:rPr>
                <w:noProof/>
                <w:webHidden/>
              </w:rPr>
              <w:fldChar w:fldCharType="begin"/>
            </w:r>
            <w:r w:rsidR="00F3028A" w:rsidRPr="00D64E6A">
              <w:rPr>
                <w:noProof/>
                <w:webHidden/>
              </w:rPr>
              <w:instrText xml:space="preserve"> PAGEREF _Toc460517119 \h </w:instrText>
            </w:r>
            <w:r w:rsidR="00F3028A" w:rsidRPr="00D64E6A">
              <w:rPr>
                <w:noProof/>
                <w:webHidden/>
              </w:rPr>
            </w:r>
            <w:r w:rsidR="00F3028A" w:rsidRPr="00D64E6A">
              <w:rPr>
                <w:noProof/>
                <w:webHidden/>
              </w:rPr>
              <w:fldChar w:fldCharType="separate"/>
            </w:r>
            <w:r w:rsidR="00F3028A" w:rsidRPr="00D64E6A">
              <w:rPr>
                <w:noProof/>
                <w:webHidden/>
              </w:rPr>
              <w:t>17</w:t>
            </w:r>
            <w:r w:rsidR="00F3028A" w:rsidRPr="00D64E6A">
              <w:rPr>
                <w:noProof/>
                <w:webHidden/>
              </w:rPr>
              <w:fldChar w:fldCharType="end"/>
            </w:r>
          </w:hyperlink>
        </w:p>
        <w:p w14:paraId="2C1B8C32" w14:textId="77777777" w:rsidR="00F3028A" w:rsidRPr="00D64E6A" w:rsidRDefault="00B66263">
          <w:pPr>
            <w:pStyle w:val="TDC2"/>
            <w:rPr>
              <w:rFonts w:cstheme="minorBidi"/>
              <w:noProof/>
            </w:rPr>
          </w:pPr>
          <w:hyperlink w:anchor="_Toc460517120" w:history="1">
            <w:r w:rsidR="00F3028A" w:rsidRPr="00D64E6A">
              <w:rPr>
                <w:rStyle w:val="Hipervnculo"/>
                <w:noProof/>
              </w:rPr>
              <w:t>III.2.</w:t>
            </w:r>
            <w:r w:rsidR="00F3028A" w:rsidRPr="00D64E6A">
              <w:rPr>
                <w:rFonts w:cstheme="minorBidi"/>
                <w:noProof/>
              </w:rPr>
              <w:tab/>
            </w:r>
            <w:r w:rsidR="00F3028A" w:rsidRPr="00D64E6A">
              <w:rPr>
                <w:rStyle w:val="Hipervnculo"/>
                <w:noProof/>
              </w:rPr>
              <w:t>Monitoreo de espacios noticiosos</w:t>
            </w:r>
            <w:r w:rsidR="00F3028A" w:rsidRPr="00D64E6A">
              <w:rPr>
                <w:noProof/>
                <w:webHidden/>
              </w:rPr>
              <w:tab/>
            </w:r>
            <w:r w:rsidR="00F3028A" w:rsidRPr="00D64E6A">
              <w:rPr>
                <w:noProof/>
                <w:webHidden/>
              </w:rPr>
              <w:fldChar w:fldCharType="begin"/>
            </w:r>
            <w:r w:rsidR="00F3028A" w:rsidRPr="00D64E6A">
              <w:rPr>
                <w:noProof/>
                <w:webHidden/>
              </w:rPr>
              <w:instrText xml:space="preserve"> PAGEREF _Toc460517120 \h </w:instrText>
            </w:r>
            <w:r w:rsidR="00F3028A" w:rsidRPr="00D64E6A">
              <w:rPr>
                <w:noProof/>
                <w:webHidden/>
              </w:rPr>
            </w:r>
            <w:r w:rsidR="00F3028A" w:rsidRPr="00D64E6A">
              <w:rPr>
                <w:noProof/>
                <w:webHidden/>
              </w:rPr>
              <w:fldChar w:fldCharType="separate"/>
            </w:r>
            <w:r w:rsidR="00F3028A" w:rsidRPr="00D64E6A">
              <w:rPr>
                <w:noProof/>
                <w:webHidden/>
              </w:rPr>
              <w:t>18</w:t>
            </w:r>
            <w:r w:rsidR="00F3028A" w:rsidRPr="00D64E6A">
              <w:rPr>
                <w:noProof/>
                <w:webHidden/>
              </w:rPr>
              <w:fldChar w:fldCharType="end"/>
            </w:r>
          </w:hyperlink>
        </w:p>
        <w:p w14:paraId="2C1B8C33" w14:textId="77777777" w:rsidR="00F3028A" w:rsidRPr="00D64E6A" w:rsidRDefault="00B66263">
          <w:pPr>
            <w:pStyle w:val="TDC2"/>
            <w:rPr>
              <w:rFonts w:cstheme="minorBidi"/>
              <w:noProof/>
            </w:rPr>
          </w:pPr>
          <w:hyperlink w:anchor="_Toc460517121" w:history="1">
            <w:r w:rsidR="00F3028A" w:rsidRPr="00D64E6A">
              <w:rPr>
                <w:rStyle w:val="Hipervnculo"/>
                <w:noProof/>
              </w:rPr>
              <w:t>III.3.</w:t>
            </w:r>
            <w:r w:rsidR="00F3028A" w:rsidRPr="00D64E6A">
              <w:rPr>
                <w:rFonts w:cstheme="minorBidi"/>
                <w:noProof/>
              </w:rPr>
              <w:tab/>
            </w:r>
            <w:r w:rsidR="00F3028A" w:rsidRPr="00D64E6A">
              <w:rPr>
                <w:rStyle w:val="Hipervnculo"/>
                <w:noProof/>
              </w:rPr>
              <w:t>Actualización de la página del Comité de Radio y Televisión en el portal de internet del Instituto Nacional Electoral</w:t>
            </w:r>
            <w:r w:rsidR="00F3028A" w:rsidRPr="00D64E6A">
              <w:rPr>
                <w:noProof/>
                <w:webHidden/>
              </w:rPr>
              <w:tab/>
            </w:r>
            <w:r w:rsidR="00F3028A" w:rsidRPr="00D64E6A">
              <w:rPr>
                <w:noProof/>
                <w:webHidden/>
              </w:rPr>
              <w:fldChar w:fldCharType="begin"/>
            </w:r>
            <w:r w:rsidR="00F3028A" w:rsidRPr="00D64E6A">
              <w:rPr>
                <w:noProof/>
                <w:webHidden/>
              </w:rPr>
              <w:instrText xml:space="preserve"> PAGEREF _Toc460517121 \h </w:instrText>
            </w:r>
            <w:r w:rsidR="00F3028A" w:rsidRPr="00D64E6A">
              <w:rPr>
                <w:noProof/>
                <w:webHidden/>
              </w:rPr>
            </w:r>
            <w:r w:rsidR="00F3028A" w:rsidRPr="00D64E6A">
              <w:rPr>
                <w:noProof/>
                <w:webHidden/>
              </w:rPr>
              <w:fldChar w:fldCharType="separate"/>
            </w:r>
            <w:r w:rsidR="00F3028A" w:rsidRPr="00D64E6A">
              <w:rPr>
                <w:noProof/>
                <w:webHidden/>
              </w:rPr>
              <w:t>20</w:t>
            </w:r>
            <w:r w:rsidR="00F3028A" w:rsidRPr="00D64E6A">
              <w:rPr>
                <w:noProof/>
                <w:webHidden/>
              </w:rPr>
              <w:fldChar w:fldCharType="end"/>
            </w:r>
          </w:hyperlink>
        </w:p>
        <w:p w14:paraId="2C1B8C34" w14:textId="77777777" w:rsidR="00F3028A" w:rsidRPr="00D64E6A" w:rsidRDefault="00B66263">
          <w:pPr>
            <w:pStyle w:val="TDC2"/>
            <w:rPr>
              <w:rFonts w:cstheme="minorBidi"/>
              <w:noProof/>
            </w:rPr>
          </w:pPr>
          <w:hyperlink w:anchor="_Toc460517122" w:history="1">
            <w:r w:rsidR="00F3028A" w:rsidRPr="00D64E6A">
              <w:rPr>
                <w:rStyle w:val="Hipervnculo"/>
                <w:noProof/>
              </w:rPr>
              <w:t>III.4.</w:t>
            </w:r>
            <w:r w:rsidR="00F3028A" w:rsidRPr="00D64E6A">
              <w:rPr>
                <w:rFonts w:cstheme="minorBidi"/>
                <w:noProof/>
              </w:rPr>
              <w:tab/>
            </w:r>
            <w:r w:rsidR="00F3028A" w:rsidRPr="00D64E6A">
              <w:rPr>
                <w:rStyle w:val="Hipervnculo"/>
                <w:noProof/>
              </w:rPr>
              <w:t>Pautas de reposición</w:t>
            </w:r>
            <w:r w:rsidR="00F3028A" w:rsidRPr="00D64E6A">
              <w:rPr>
                <w:noProof/>
                <w:webHidden/>
              </w:rPr>
              <w:tab/>
            </w:r>
            <w:r w:rsidR="00F3028A" w:rsidRPr="00D64E6A">
              <w:rPr>
                <w:noProof/>
                <w:webHidden/>
              </w:rPr>
              <w:fldChar w:fldCharType="begin"/>
            </w:r>
            <w:r w:rsidR="00F3028A" w:rsidRPr="00D64E6A">
              <w:rPr>
                <w:noProof/>
                <w:webHidden/>
              </w:rPr>
              <w:instrText xml:space="preserve"> PAGEREF _Toc460517122 \h </w:instrText>
            </w:r>
            <w:r w:rsidR="00F3028A" w:rsidRPr="00D64E6A">
              <w:rPr>
                <w:noProof/>
                <w:webHidden/>
              </w:rPr>
            </w:r>
            <w:r w:rsidR="00F3028A" w:rsidRPr="00D64E6A">
              <w:rPr>
                <w:noProof/>
                <w:webHidden/>
              </w:rPr>
              <w:fldChar w:fldCharType="separate"/>
            </w:r>
            <w:r w:rsidR="00F3028A" w:rsidRPr="00D64E6A">
              <w:rPr>
                <w:noProof/>
                <w:webHidden/>
              </w:rPr>
              <w:t>20</w:t>
            </w:r>
            <w:r w:rsidR="00F3028A" w:rsidRPr="00D64E6A">
              <w:rPr>
                <w:noProof/>
                <w:webHidden/>
              </w:rPr>
              <w:fldChar w:fldCharType="end"/>
            </w:r>
          </w:hyperlink>
        </w:p>
        <w:p w14:paraId="2C1B8C35" w14:textId="77777777" w:rsidR="00F3028A" w:rsidRPr="00D64E6A" w:rsidRDefault="00B66263">
          <w:pPr>
            <w:pStyle w:val="TDC2"/>
            <w:rPr>
              <w:rFonts w:cstheme="minorBidi"/>
              <w:noProof/>
            </w:rPr>
          </w:pPr>
          <w:hyperlink w:anchor="_Toc460517123" w:history="1">
            <w:r w:rsidR="00F3028A" w:rsidRPr="00D64E6A">
              <w:rPr>
                <w:rStyle w:val="Hipervnculo"/>
                <w:noProof/>
              </w:rPr>
              <w:t>III.5.</w:t>
            </w:r>
            <w:r w:rsidR="00F3028A" w:rsidRPr="00D64E6A">
              <w:rPr>
                <w:rFonts w:cstheme="minorBidi"/>
                <w:noProof/>
              </w:rPr>
              <w:tab/>
            </w:r>
            <w:r w:rsidR="00F3028A" w:rsidRPr="00D64E6A">
              <w:rPr>
                <w:rStyle w:val="Hipervnculo"/>
                <w:noProof/>
              </w:rPr>
              <w:t>Candidatos independientes</w:t>
            </w:r>
            <w:r w:rsidR="00F3028A" w:rsidRPr="00D64E6A">
              <w:rPr>
                <w:noProof/>
                <w:webHidden/>
              </w:rPr>
              <w:tab/>
            </w:r>
            <w:r w:rsidR="00F3028A" w:rsidRPr="00D64E6A">
              <w:rPr>
                <w:noProof/>
                <w:webHidden/>
              </w:rPr>
              <w:fldChar w:fldCharType="begin"/>
            </w:r>
            <w:r w:rsidR="00F3028A" w:rsidRPr="00D64E6A">
              <w:rPr>
                <w:noProof/>
                <w:webHidden/>
              </w:rPr>
              <w:instrText xml:space="preserve"> PAGEREF _Toc460517123 \h </w:instrText>
            </w:r>
            <w:r w:rsidR="00F3028A" w:rsidRPr="00D64E6A">
              <w:rPr>
                <w:noProof/>
                <w:webHidden/>
              </w:rPr>
            </w:r>
            <w:r w:rsidR="00F3028A" w:rsidRPr="00D64E6A">
              <w:rPr>
                <w:noProof/>
                <w:webHidden/>
              </w:rPr>
              <w:fldChar w:fldCharType="separate"/>
            </w:r>
            <w:r w:rsidR="00F3028A" w:rsidRPr="00D64E6A">
              <w:rPr>
                <w:noProof/>
                <w:webHidden/>
              </w:rPr>
              <w:t>21</w:t>
            </w:r>
            <w:r w:rsidR="00F3028A" w:rsidRPr="00D64E6A">
              <w:rPr>
                <w:noProof/>
                <w:webHidden/>
              </w:rPr>
              <w:fldChar w:fldCharType="end"/>
            </w:r>
          </w:hyperlink>
        </w:p>
        <w:p w14:paraId="2C1B8C36" w14:textId="77777777" w:rsidR="00F3028A" w:rsidRPr="00D64E6A" w:rsidRDefault="00B66263">
          <w:pPr>
            <w:pStyle w:val="TDC2"/>
            <w:rPr>
              <w:rFonts w:cstheme="minorBidi"/>
              <w:noProof/>
            </w:rPr>
          </w:pPr>
          <w:hyperlink w:anchor="_Toc460517124" w:history="1">
            <w:r w:rsidR="00F3028A" w:rsidRPr="00D64E6A">
              <w:rPr>
                <w:rStyle w:val="Hipervnculo"/>
                <w:noProof/>
              </w:rPr>
              <w:t>III.6.</w:t>
            </w:r>
            <w:r w:rsidR="00F3028A" w:rsidRPr="00D64E6A">
              <w:rPr>
                <w:rFonts w:cstheme="minorBidi"/>
                <w:noProof/>
              </w:rPr>
              <w:tab/>
            </w:r>
            <w:r w:rsidR="00F3028A" w:rsidRPr="00D64E6A">
              <w:rPr>
                <w:rStyle w:val="Hipervnculo"/>
                <w:noProof/>
              </w:rPr>
              <w:t>Regulación de la propaganda política electoral, a la luz del interés superior de niñas, niños y adolescentes</w:t>
            </w:r>
            <w:r w:rsidR="00F3028A" w:rsidRPr="00D64E6A">
              <w:rPr>
                <w:noProof/>
                <w:webHidden/>
              </w:rPr>
              <w:tab/>
            </w:r>
            <w:r w:rsidR="00F3028A" w:rsidRPr="00D64E6A">
              <w:rPr>
                <w:noProof/>
                <w:webHidden/>
              </w:rPr>
              <w:fldChar w:fldCharType="begin"/>
            </w:r>
            <w:r w:rsidR="00F3028A" w:rsidRPr="00D64E6A">
              <w:rPr>
                <w:noProof/>
                <w:webHidden/>
              </w:rPr>
              <w:instrText xml:space="preserve"> PAGEREF _Toc460517124 \h </w:instrText>
            </w:r>
            <w:r w:rsidR="00F3028A" w:rsidRPr="00D64E6A">
              <w:rPr>
                <w:noProof/>
                <w:webHidden/>
              </w:rPr>
            </w:r>
            <w:r w:rsidR="00F3028A" w:rsidRPr="00D64E6A">
              <w:rPr>
                <w:noProof/>
                <w:webHidden/>
              </w:rPr>
              <w:fldChar w:fldCharType="separate"/>
            </w:r>
            <w:r w:rsidR="00F3028A" w:rsidRPr="00D64E6A">
              <w:rPr>
                <w:noProof/>
                <w:webHidden/>
              </w:rPr>
              <w:t>22</w:t>
            </w:r>
            <w:r w:rsidR="00F3028A" w:rsidRPr="00D64E6A">
              <w:rPr>
                <w:noProof/>
                <w:webHidden/>
              </w:rPr>
              <w:fldChar w:fldCharType="end"/>
            </w:r>
          </w:hyperlink>
        </w:p>
        <w:p w14:paraId="2C1B8C37" w14:textId="77777777" w:rsidR="00F3028A" w:rsidRPr="00D64E6A" w:rsidRDefault="00B66263">
          <w:pPr>
            <w:pStyle w:val="TDC2"/>
            <w:rPr>
              <w:rFonts w:cstheme="minorBidi"/>
              <w:noProof/>
            </w:rPr>
          </w:pPr>
          <w:hyperlink w:anchor="_Toc460517125" w:history="1">
            <w:r w:rsidR="00F3028A" w:rsidRPr="00D64E6A">
              <w:rPr>
                <w:rStyle w:val="Hipervnculo"/>
                <w:noProof/>
              </w:rPr>
              <w:t>III.7.</w:t>
            </w:r>
            <w:r w:rsidR="00F3028A" w:rsidRPr="00D64E6A">
              <w:rPr>
                <w:rFonts w:cstheme="minorBidi"/>
                <w:noProof/>
              </w:rPr>
              <w:tab/>
            </w:r>
            <w:r w:rsidR="00F3028A" w:rsidRPr="00D64E6A">
              <w:rPr>
                <w:rStyle w:val="Hipervnculo"/>
                <w:noProof/>
              </w:rPr>
              <w:t>Cumplimiento de las obligaciones de transparencia derivadas de la promulgación de la Ley General de Transparencia y Acceso a la Información Pública</w:t>
            </w:r>
            <w:r w:rsidR="00F3028A" w:rsidRPr="00D64E6A">
              <w:rPr>
                <w:noProof/>
                <w:webHidden/>
              </w:rPr>
              <w:tab/>
            </w:r>
            <w:r w:rsidR="00F3028A" w:rsidRPr="00D64E6A">
              <w:rPr>
                <w:noProof/>
                <w:webHidden/>
              </w:rPr>
              <w:fldChar w:fldCharType="begin"/>
            </w:r>
            <w:r w:rsidR="00F3028A" w:rsidRPr="00D64E6A">
              <w:rPr>
                <w:noProof/>
                <w:webHidden/>
              </w:rPr>
              <w:instrText xml:space="preserve"> PAGEREF _Toc460517125 \h </w:instrText>
            </w:r>
            <w:r w:rsidR="00F3028A" w:rsidRPr="00D64E6A">
              <w:rPr>
                <w:noProof/>
                <w:webHidden/>
              </w:rPr>
            </w:r>
            <w:r w:rsidR="00F3028A" w:rsidRPr="00D64E6A">
              <w:rPr>
                <w:noProof/>
                <w:webHidden/>
              </w:rPr>
              <w:fldChar w:fldCharType="separate"/>
            </w:r>
            <w:r w:rsidR="00F3028A" w:rsidRPr="00D64E6A">
              <w:rPr>
                <w:noProof/>
                <w:webHidden/>
              </w:rPr>
              <w:t>24</w:t>
            </w:r>
            <w:r w:rsidR="00F3028A" w:rsidRPr="00D64E6A">
              <w:rPr>
                <w:noProof/>
                <w:webHidden/>
              </w:rPr>
              <w:fldChar w:fldCharType="end"/>
            </w:r>
          </w:hyperlink>
        </w:p>
        <w:p w14:paraId="2C1B8C38" w14:textId="77777777" w:rsidR="00AF18E0" w:rsidRPr="00D64E6A" w:rsidRDefault="00AF18E0" w:rsidP="003E36DB">
          <w:pPr>
            <w:ind w:right="-93"/>
          </w:pPr>
          <w:r w:rsidRPr="00D64E6A">
            <w:rPr>
              <w:rFonts w:cs="Arial"/>
              <w:b/>
              <w:bCs/>
              <w:sz w:val="20"/>
              <w:szCs w:val="20"/>
              <w:lang w:val="es-ES"/>
            </w:rPr>
            <w:fldChar w:fldCharType="end"/>
          </w:r>
        </w:p>
      </w:sdtContent>
    </w:sdt>
    <w:p w14:paraId="2C1B8C39" w14:textId="77777777" w:rsidR="00D304D8" w:rsidRPr="00D64E6A" w:rsidRDefault="00D304D8">
      <w:pPr>
        <w:jc w:val="left"/>
      </w:pPr>
      <w:r w:rsidRPr="00D64E6A">
        <w:br w:type="page"/>
      </w:r>
    </w:p>
    <w:p w14:paraId="2C1B8C3A" w14:textId="77777777" w:rsidR="003156E1" w:rsidRPr="00D64E6A" w:rsidRDefault="00AF18E0" w:rsidP="003E36DB">
      <w:pPr>
        <w:pStyle w:val="Ttulo1"/>
        <w:ind w:right="-93"/>
      </w:pPr>
      <w:bookmarkStart w:id="2" w:name="_Toc460517098"/>
      <w:r w:rsidRPr="00D64E6A">
        <w:t xml:space="preserve">I. </w:t>
      </w:r>
      <w:r w:rsidR="003156E1" w:rsidRPr="00D64E6A">
        <w:t>PRESENTACIÓN</w:t>
      </w:r>
      <w:bookmarkEnd w:id="2"/>
    </w:p>
    <w:p w14:paraId="2C1B8C3B" w14:textId="77777777" w:rsidR="009F4517" w:rsidRPr="00D64E6A" w:rsidRDefault="009F4517" w:rsidP="003E36DB">
      <w:pPr>
        <w:ind w:left="284" w:right="-93"/>
        <w:rPr>
          <w:b/>
        </w:rPr>
      </w:pPr>
    </w:p>
    <w:p w14:paraId="2C1B8C3C" w14:textId="77777777" w:rsidR="00692D7E" w:rsidRPr="00D64E6A" w:rsidRDefault="00486691" w:rsidP="00692D7E">
      <w:pPr>
        <w:ind w:right="-93"/>
      </w:pPr>
      <w:r w:rsidRPr="00D64E6A">
        <w:t xml:space="preserve">En sesión extraordinaria del 15 de junio de 2016, el Consejo General del Instituto Nacional Electoral </w:t>
      </w:r>
      <w:r w:rsidR="00961AF8">
        <w:t>aprobó, mediante el</w:t>
      </w:r>
      <w:r w:rsidRPr="00D64E6A">
        <w:t xml:space="preserve"> acuerdo </w:t>
      </w:r>
      <w:r w:rsidR="009F0686" w:rsidRPr="00D64E6A">
        <w:t>INE/CG479/2016, modificaciones al Reglam</w:t>
      </w:r>
      <w:r w:rsidR="00961AF8">
        <w:t>ento Interior del Instituto y al</w:t>
      </w:r>
      <w:r w:rsidR="009F0686" w:rsidRPr="00D64E6A">
        <w:t xml:space="preserve"> Reglamento de Comisiones </w:t>
      </w:r>
      <w:r w:rsidR="00692D7E" w:rsidRPr="00D64E6A">
        <w:t>para establecer que “la elección de los integrantes de las comisiones permanentes y la rotación de sus presidencias sea en la primera semana del mes de septiembre de cada año, de tal manera, que los integrantes de cada una de las comisiones sean los encargados de llevar a cabo los trabajos de todo el Proceso Electoral Federal o Local Ordinario de que se trate hasta su conclusión”.</w:t>
      </w:r>
    </w:p>
    <w:p w14:paraId="2C1B8C3D" w14:textId="77777777" w:rsidR="00692D7E" w:rsidRPr="00D64E6A" w:rsidRDefault="00692D7E" w:rsidP="00027FC1">
      <w:pPr>
        <w:ind w:right="-93"/>
      </w:pPr>
    </w:p>
    <w:p w14:paraId="2C1B8C3E" w14:textId="77777777" w:rsidR="009F0686" w:rsidRPr="00D64E6A" w:rsidRDefault="00700DC5" w:rsidP="003E36DB">
      <w:pPr>
        <w:ind w:right="-93"/>
      </w:pPr>
      <w:r w:rsidRPr="00D64E6A">
        <w:t xml:space="preserve">En ese </w:t>
      </w:r>
      <w:r w:rsidR="001A1A7A" w:rsidRPr="00D64E6A">
        <w:t>contexto,</w:t>
      </w:r>
      <w:r w:rsidRPr="00D64E6A">
        <w:t xml:space="preserve"> el Consejo General estimó </w:t>
      </w:r>
      <w:r w:rsidR="001A1A7A" w:rsidRPr="00D64E6A">
        <w:t xml:space="preserve">que </w:t>
      </w:r>
      <w:r w:rsidRPr="00D64E6A">
        <w:t>“</w:t>
      </w:r>
      <w:r w:rsidR="001A1A7A" w:rsidRPr="00D64E6A">
        <w:t>al cabo de cada ciclo de presidencia, el presidente de la comisión respectiva, bien puede presentar informes dentro del seno de cada Comisión, respecto de los trabajos desempeñados en la misma, informes que servirán de insumo para que la siguientes presidencias puedan dar continuidad a los trabajos encomendados a las áreas ejecutivas del Instituto y se identifiquen áreas de oportunidad para los siguientes Procesos Electorales</w:t>
      </w:r>
      <w:r w:rsidRPr="00D64E6A">
        <w:t>”</w:t>
      </w:r>
      <w:r w:rsidR="001A1A7A" w:rsidRPr="00D64E6A">
        <w:t>.</w:t>
      </w:r>
    </w:p>
    <w:p w14:paraId="2C1B8C3F" w14:textId="77777777" w:rsidR="00700DC5" w:rsidRPr="00D64E6A" w:rsidRDefault="00700DC5" w:rsidP="003E36DB">
      <w:pPr>
        <w:ind w:right="-93"/>
      </w:pPr>
    </w:p>
    <w:p w14:paraId="2C1B8C40" w14:textId="77777777" w:rsidR="00700DC5" w:rsidRPr="00D64E6A" w:rsidRDefault="00593B8F" w:rsidP="00593B8F">
      <w:pPr>
        <w:ind w:right="-93"/>
      </w:pPr>
      <w:r w:rsidRPr="00D64E6A">
        <w:t>Con base en lo anterior</w:t>
      </w:r>
      <w:r w:rsidR="00700DC5" w:rsidRPr="00D64E6A">
        <w:t xml:space="preserve">, y con </w:t>
      </w:r>
      <w:r w:rsidR="009F4517" w:rsidRPr="00D64E6A">
        <w:t>fundamento en el artículo 44, numeral 1, incisos b), k) y n) de la Ley General de Instituciones y Procedimientos Electorales</w:t>
      </w:r>
      <w:r w:rsidR="0067131A" w:rsidRPr="00D64E6A">
        <w:t>; 9, párrafo 1, inciso b) del Reglamento de Comisiones del Consejo General d</w:t>
      </w:r>
      <w:r w:rsidRPr="00D64E6A">
        <w:t xml:space="preserve">el Instituto Nacional Electoral, y </w:t>
      </w:r>
      <w:r w:rsidR="0067131A" w:rsidRPr="00D64E6A">
        <w:t>6, párrafo 1, inciso l) del Reglamento de sesiones del Comité de Radio y Televisión</w:t>
      </w:r>
      <w:r w:rsidR="001D1717" w:rsidRPr="00D64E6A">
        <w:t>,</w:t>
      </w:r>
      <w:r w:rsidR="0067131A" w:rsidRPr="00D64E6A">
        <w:t xml:space="preserve"> </w:t>
      </w:r>
      <w:r w:rsidR="001D1717" w:rsidRPr="00D64E6A">
        <w:t>se</w:t>
      </w:r>
      <w:r w:rsidR="009F4517" w:rsidRPr="00D64E6A">
        <w:t xml:space="preserve"> presenta el </w:t>
      </w:r>
      <w:r w:rsidRPr="00D64E6A">
        <w:t xml:space="preserve">presente Informe de Gestión </w:t>
      </w:r>
      <w:r w:rsidR="009F4517" w:rsidRPr="00D64E6A">
        <w:t>2015</w:t>
      </w:r>
      <w:r w:rsidRPr="00D64E6A">
        <w:t>-2016,</w:t>
      </w:r>
      <w:r w:rsidR="009F4517" w:rsidRPr="00D64E6A">
        <w:t xml:space="preserve"> en congruencia </w:t>
      </w:r>
      <w:r w:rsidR="00961AF8">
        <w:t xml:space="preserve">con </w:t>
      </w:r>
      <w:r w:rsidRPr="00D64E6A">
        <w:t>los planes de trabajo</w:t>
      </w:r>
      <w:r w:rsidR="00EC524C" w:rsidRPr="00D64E6A">
        <w:t xml:space="preserve"> para dicho</w:t>
      </w:r>
      <w:r w:rsidRPr="00D64E6A">
        <w:t>s</w:t>
      </w:r>
      <w:r w:rsidR="00EC524C" w:rsidRPr="00D64E6A">
        <w:t xml:space="preserve"> año</w:t>
      </w:r>
      <w:r w:rsidRPr="00D64E6A">
        <w:t>s</w:t>
      </w:r>
      <w:r w:rsidR="00EC524C" w:rsidRPr="00D64E6A">
        <w:t xml:space="preserve"> aprobado</w:t>
      </w:r>
      <w:r w:rsidRPr="00D64E6A">
        <w:t>s</w:t>
      </w:r>
      <w:r w:rsidR="00EC524C" w:rsidRPr="00D64E6A">
        <w:t xml:space="preserve"> por el Consejo General del Instituto Nacional Electoral</w:t>
      </w:r>
      <w:r w:rsidRPr="00D64E6A">
        <w:t>.</w:t>
      </w:r>
    </w:p>
    <w:p w14:paraId="2C1B8C41" w14:textId="77777777" w:rsidR="00E2095F" w:rsidRPr="00D64E6A" w:rsidRDefault="00E2095F" w:rsidP="003E36DB">
      <w:pPr>
        <w:ind w:right="-93"/>
      </w:pPr>
    </w:p>
    <w:p w14:paraId="2C1B8C42" w14:textId="77777777" w:rsidR="003156E1" w:rsidRPr="00D64E6A" w:rsidRDefault="00F76EF2" w:rsidP="00734352">
      <w:pPr>
        <w:pStyle w:val="Ttulo1"/>
        <w:ind w:left="426" w:hanging="426"/>
      </w:pPr>
      <w:bookmarkStart w:id="3" w:name="_Toc460517099"/>
      <w:r w:rsidRPr="00D64E6A">
        <w:t>II</w:t>
      </w:r>
      <w:r w:rsidR="00734352" w:rsidRPr="00D64E6A">
        <w:t>.</w:t>
      </w:r>
      <w:r w:rsidR="00734352" w:rsidRPr="00D64E6A">
        <w:tab/>
      </w:r>
      <w:r w:rsidR="003156E1" w:rsidRPr="00D64E6A">
        <w:t xml:space="preserve">ACTIVIDADES DESARROLLADAS </w:t>
      </w:r>
      <w:r w:rsidR="001B1584" w:rsidRPr="00D64E6A">
        <w:t>DE JUNIO DE 2015 A AGOSTO DE 2016</w:t>
      </w:r>
      <w:r w:rsidR="00734352" w:rsidRPr="00D64E6A">
        <w:t xml:space="preserve"> CONFORME A LAS LÍNEAS DE ACCIÓN APROBADAS</w:t>
      </w:r>
      <w:bookmarkEnd w:id="3"/>
    </w:p>
    <w:p w14:paraId="2C1B8C43" w14:textId="77777777" w:rsidR="00906E60" w:rsidRPr="00D64E6A" w:rsidRDefault="00906E60" w:rsidP="001A1660"/>
    <w:p w14:paraId="2C1B8C44" w14:textId="77777777" w:rsidR="008934FD" w:rsidRPr="00D64E6A" w:rsidRDefault="00E9237E" w:rsidP="00906E60">
      <w:r w:rsidRPr="00D64E6A">
        <w:t>Durante el periodo que se informa</w:t>
      </w:r>
      <w:r w:rsidR="006C13CC" w:rsidRPr="00D64E6A">
        <w:t xml:space="preserve">, </w:t>
      </w:r>
      <w:r w:rsidR="008934FD" w:rsidRPr="00D64E6A">
        <w:t xml:space="preserve">el Comité de Radio y Televisión celebró </w:t>
      </w:r>
      <w:r w:rsidR="00C170D7" w:rsidRPr="00D64E6A">
        <w:t>1</w:t>
      </w:r>
      <w:r w:rsidRPr="00D64E6A">
        <w:t>5</w:t>
      </w:r>
      <w:r w:rsidR="008934FD" w:rsidRPr="00D64E6A">
        <w:t xml:space="preserve"> sesiones ordinarias, </w:t>
      </w:r>
      <w:r w:rsidRPr="00D64E6A">
        <w:t>4</w:t>
      </w:r>
      <w:r w:rsidR="008934FD" w:rsidRPr="00D64E6A">
        <w:t xml:space="preserve"> extraordinarias y </w:t>
      </w:r>
      <w:r w:rsidRPr="00D64E6A">
        <w:t>8</w:t>
      </w:r>
      <w:r w:rsidR="007C195E" w:rsidRPr="00D64E6A">
        <w:t xml:space="preserve"> especiales, así </w:t>
      </w:r>
      <w:r w:rsidR="00A2122C" w:rsidRPr="00D64E6A">
        <w:t xml:space="preserve">como </w:t>
      </w:r>
      <w:r w:rsidR="00C30B1D" w:rsidRPr="00D64E6A">
        <w:t>8</w:t>
      </w:r>
      <w:r w:rsidR="008934FD" w:rsidRPr="00D64E6A">
        <w:t xml:space="preserve"> reuniones de trabajo (</w:t>
      </w:r>
      <w:r w:rsidR="007C195E" w:rsidRPr="00D64E6A">
        <w:t>a</w:t>
      </w:r>
      <w:r w:rsidR="008934FD" w:rsidRPr="00D64E6A">
        <w:t>nexo 1</w:t>
      </w:r>
      <w:r w:rsidR="007C5D98" w:rsidRPr="00D64E6A">
        <w:t>)</w:t>
      </w:r>
      <w:r w:rsidR="006C13CC" w:rsidRPr="00D64E6A">
        <w:t>,</w:t>
      </w:r>
      <w:r w:rsidR="008934FD" w:rsidRPr="00D64E6A">
        <w:t xml:space="preserve"> en las cuales se aprobaron </w:t>
      </w:r>
      <w:r w:rsidR="008A2A86" w:rsidRPr="00D64E6A">
        <w:t>4</w:t>
      </w:r>
      <w:r w:rsidR="00E53A54" w:rsidRPr="00D64E6A">
        <w:t>8</w:t>
      </w:r>
      <w:r w:rsidR="008934FD" w:rsidRPr="00D64E6A">
        <w:t xml:space="preserve"> acuerdos (</w:t>
      </w:r>
      <w:r w:rsidR="007C195E" w:rsidRPr="00D64E6A">
        <w:t>a</w:t>
      </w:r>
      <w:r w:rsidR="008934FD" w:rsidRPr="00D64E6A">
        <w:t>nexo 2</w:t>
      </w:r>
      <w:r w:rsidR="007C5D98" w:rsidRPr="00D64E6A">
        <w:t>)</w:t>
      </w:r>
      <w:r w:rsidR="006C13CC" w:rsidRPr="00D64E6A">
        <w:t>.</w:t>
      </w:r>
      <w:r w:rsidR="008934FD" w:rsidRPr="00D64E6A">
        <w:t xml:space="preserve"> </w:t>
      </w:r>
    </w:p>
    <w:p w14:paraId="2C1B8C45" w14:textId="77777777" w:rsidR="008934FD" w:rsidRPr="00D64E6A" w:rsidRDefault="008934FD" w:rsidP="00906E60"/>
    <w:p w14:paraId="2C1B8C46" w14:textId="77777777" w:rsidR="00906E60" w:rsidRPr="00D64E6A" w:rsidRDefault="008934FD" w:rsidP="00906E60">
      <w:r w:rsidRPr="00D64E6A">
        <w:t>Cabe señalar que las actividades desarrolladas</w:t>
      </w:r>
      <w:r w:rsidR="00906E60" w:rsidRPr="00D64E6A">
        <w:t xml:space="preserve"> </w:t>
      </w:r>
      <w:r w:rsidRPr="00D64E6A">
        <w:t xml:space="preserve">estuvieron </w:t>
      </w:r>
      <w:r w:rsidR="00DD5420" w:rsidRPr="00D64E6A">
        <w:t>en concordancia con las</w:t>
      </w:r>
      <w:r w:rsidR="00906E60" w:rsidRPr="00D64E6A">
        <w:t xml:space="preserve"> líneas de acción de</w:t>
      </w:r>
      <w:r w:rsidR="00923352" w:rsidRPr="00D64E6A">
        <w:t xml:space="preserve"> </w:t>
      </w:r>
      <w:r w:rsidR="00906E60" w:rsidRPr="00D64E6A">
        <w:t>l</w:t>
      </w:r>
      <w:r w:rsidR="00923352" w:rsidRPr="00D64E6A">
        <w:t>os</w:t>
      </w:r>
      <w:r w:rsidR="00906E60" w:rsidRPr="00D64E6A">
        <w:t xml:space="preserve"> </w:t>
      </w:r>
      <w:r w:rsidR="00923352" w:rsidRPr="00D64E6A">
        <w:t xml:space="preserve">planes de trabajo </w:t>
      </w:r>
      <w:r w:rsidRPr="00D64E6A">
        <w:t>2015</w:t>
      </w:r>
      <w:r w:rsidR="00923352" w:rsidRPr="00D64E6A">
        <w:t xml:space="preserve"> y 2016</w:t>
      </w:r>
      <w:r w:rsidR="00F36290" w:rsidRPr="00D64E6A">
        <w:t>.</w:t>
      </w:r>
    </w:p>
    <w:p w14:paraId="2C1B8C47" w14:textId="77777777" w:rsidR="00585F45" w:rsidRPr="00D64E6A" w:rsidRDefault="00E616C9" w:rsidP="003360EA">
      <w:pPr>
        <w:pStyle w:val="Ttulo2"/>
        <w:ind w:left="709" w:hanging="709"/>
      </w:pPr>
      <w:bookmarkStart w:id="4" w:name="_Toc460517100"/>
      <w:r w:rsidRPr="00D64E6A">
        <w:rPr>
          <w:lang w:val="es-MX"/>
        </w:rPr>
        <w:t xml:space="preserve">II. </w:t>
      </w:r>
      <w:r w:rsidR="007E3EBE" w:rsidRPr="00D64E6A">
        <w:t>1.</w:t>
      </w:r>
      <w:r w:rsidR="003360EA" w:rsidRPr="00D64E6A">
        <w:tab/>
        <w:t>LINEAMIENTOS APLICABLES PARA LA ENTREGA Y RECEPCIÓN ELECTRÓNICA O SATELITAL DE LAS ÓRDENES DE TRANSMISIÓN Y MATERIALES</w:t>
      </w:r>
      <w:bookmarkEnd w:id="4"/>
    </w:p>
    <w:p w14:paraId="2C1B8C48" w14:textId="77777777" w:rsidR="00BE2F20" w:rsidRPr="00D64E6A" w:rsidRDefault="00BE2F20" w:rsidP="00BE2F20">
      <w:pPr>
        <w:rPr>
          <w:lang w:val="es-ES_tradnl"/>
        </w:rPr>
      </w:pPr>
    </w:p>
    <w:p w14:paraId="2C1B8C49" w14:textId="77777777" w:rsidR="00BE2F20" w:rsidRPr="00D64E6A" w:rsidRDefault="00FC65D4" w:rsidP="00BE2F20">
      <w:pPr>
        <w:rPr>
          <w:lang w:val="es-ES_tradnl"/>
        </w:rPr>
      </w:pPr>
      <w:r w:rsidRPr="00D64E6A">
        <w:rPr>
          <w:lang w:val="es-ES_tradnl"/>
        </w:rPr>
        <w:t xml:space="preserve">En junio de 2015, el </w:t>
      </w:r>
      <w:r w:rsidR="00E147C8" w:rsidRPr="00D64E6A">
        <w:rPr>
          <w:lang w:val="es-ES_tradnl"/>
        </w:rPr>
        <w:t xml:space="preserve">Consejo General del Instituto </w:t>
      </w:r>
      <w:r w:rsidR="00BE2F20" w:rsidRPr="00D64E6A">
        <w:rPr>
          <w:lang w:val="es-ES_tradnl"/>
        </w:rPr>
        <w:t>dispuso que en un plazo que no excediera del 12 de agosto</w:t>
      </w:r>
      <w:r w:rsidR="00E147C8" w:rsidRPr="00D64E6A">
        <w:rPr>
          <w:lang w:val="es-ES_tradnl"/>
        </w:rPr>
        <w:t xml:space="preserve"> </w:t>
      </w:r>
      <w:r w:rsidR="00923352" w:rsidRPr="00D64E6A">
        <w:rPr>
          <w:lang w:val="es-ES_tradnl"/>
        </w:rPr>
        <w:t>de ese mismo</w:t>
      </w:r>
      <w:r w:rsidR="00E147C8" w:rsidRPr="00D64E6A">
        <w:rPr>
          <w:lang w:val="es-ES_tradnl"/>
        </w:rPr>
        <w:t xml:space="preserve"> año</w:t>
      </w:r>
      <w:r w:rsidR="00923352" w:rsidRPr="00D64E6A">
        <w:rPr>
          <w:lang w:val="es-ES_tradnl"/>
        </w:rPr>
        <w:t>,</w:t>
      </w:r>
      <w:r w:rsidR="006C13CC" w:rsidRPr="00D64E6A">
        <w:rPr>
          <w:lang w:val="es-ES_tradnl"/>
        </w:rPr>
        <w:t xml:space="preserve"> debían someterse a consideración de ese</w:t>
      </w:r>
      <w:r w:rsidR="00D73CBB" w:rsidRPr="00D64E6A">
        <w:rPr>
          <w:lang w:val="es-ES_tradnl"/>
        </w:rPr>
        <w:t xml:space="preserve"> </w:t>
      </w:r>
      <w:r w:rsidR="00BE2F20" w:rsidRPr="00D64E6A">
        <w:rPr>
          <w:lang w:val="es-ES_tradnl"/>
        </w:rPr>
        <w:t>órgano</w:t>
      </w:r>
      <w:r w:rsidR="00D73CBB" w:rsidRPr="00D64E6A">
        <w:rPr>
          <w:lang w:val="es-ES_tradnl"/>
        </w:rPr>
        <w:t xml:space="preserve"> </w:t>
      </w:r>
      <w:r w:rsidR="00D56B43" w:rsidRPr="00D64E6A">
        <w:rPr>
          <w:lang w:val="es-ES_tradnl"/>
        </w:rPr>
        <w:t>de dirección</w:t>
      </w:r>
      <w:r w:rsidR="00BE2F20" w:rsidRPr="00D64E6A">
        <w:rPr>
          <w:lang w:val="es-ES_tradnl"/>
        </w:rPr>
        <w:t>, a propuesta de</w:t>
      </w:r>
      <w:r w:rsidR="00D56B43" w:rsidRPr="00D64E6A">
        <w:rPr>
          <w:lang w:val="es-ES_tradnl"/>
        </w:rPr>
        <w:t xml:space="preserve"> este </w:t>
      </w:r>
      <w:r w:rsidR="00BE2F20" w:rsidRPr="00D64E6A">
        <w:rPr>
          <w:lang w:val="es-ES_tradnl"/>
        </w:rPr>
        <w:t xml:space="preserve">Comité, los </w:t>
      </w:r>
      <w:r w:rsidR="00BE2F20" w:rsidRPr="00D64E6A">
        <w:rPr>
          <w:i/>
          <w:lang w:val="es-ES_tradnl"/>
        </w:rPr>
        <w:t>“Lineamientos aplicables a la entrega y recepción electrónica o satelital de las órdenes de transmisión y materiales”</w:t>
      </w:r>
      <w:r w:rsidR="00BE2F20" w:rsidRPr="00D64E6A">
        <w:rPr>
          <w:lang w:val="es-ES_tradnl"/>
        </w:rPr>
        <w:t>.</w:t>
      </w:r>
    </w:p>
    <w:p w14:paraId="2C1B8C4A" w14:textId="77777777" w:rsidR="00BE2F20" w:rsidRPr="00D64E6A" w:rsidRDefault="00BE2F20" w:rsidP="00BE2F20"/>
    <w:p w14:paraId="2C1B8C4B" w14:textId="77777777" w:rsidR="00BE2F20" w:rsidRPr="00D64E6A" w:rsidRDefault="006C13CC" w:rsidP="00BE2F20">
      <w:r w:rsidRPr="00D64E6A">
        <w:t>Después de diversas reuniones de trabajo con integrantes del Comité de Radio y Televisión, e</w:t>
      </w:r>
      <w:r w:rsidR="00BE2F20" w:rsidRPr="00D64E6A">
        <w:t xml:space="preserve">l anteproyecto </w:t>
      </w:r>
      <w:r w:rsidRPr="00D64E6A">
        <w:t>de Lineamientos</w:t>
      </w:r>
      <w:r w:rsidR="00BE2F20" w:rsidRPr="00D64E6A">
        <w:t xml:space="preserve"> fue discutido y aprobado por el Comité </w:t>
      </w:r>
      <w:r w:rsidR="00BA7374" w:rsidRPr="00D64E6A">
        <w:t>conforme al plazo fijado</w:t>
      </w:r>
      <w:r w:rsidRPr="00D64E6A">
        <w:t>. E</w:t>
      </w:r>
      <w:r w:rsidR="00BE2F20" w:rsidRPr="00D64E6A">
        <w:t>l Consejo General aprobó dicha propuesta mediante Acuerdo INE/CG515/2015.</w:t>
      </w:r>
    </w:p>
    <w:p w14:paraId="2C1B8C4C" w14:textId="77777777" w:rsidR="00BE2F20" w:rsidRPr="00D64E6A" w:rsidRDefault="00BE2F20" w:rsidP="00BE2F20"/>
    <w:p w14:paraId="2C1B8C4D" w14:textId="77777777" w:rsidR="00BE2F20" w:rsidRPr="00D64E6A" w:rsidRDefault="00961AF8" w:rsidP="00BE2F20">
      <w:r>
        <w:t>En el</w:t>
      </w:r>
      <w:r w:rsidR="005A159E" w:rsidRPr="00D64E6A">
        <w:t xml:space="preserve"> a</w:t>
      </w:r>
      <w:r w:rsidR="00BE2F20" w:rsidRPr="00D64E6A">
        <w:t>rtículo CUARTO t</w:t>
      </w:r>
      <w:r w:rsidR="00DD5420" w:rsidRPr="00D64E6A">
        <w:t>ransitorio del referido documento</w:t>
      </w:r>
      <w:r>
        <w:t xml:space="preserve"> se</w:t>
      </w:r>
      <w:r w:rsidR="00DD5420" w:rsidRPr="00D64E6A">
        <w:t xml:space="preserve"> </w:t>
      </w:r>
      <w:r w:rsidR="00BE2F20" w:rsidRPr="00D64E6A">
        <w:t>instruyó a la Dirección Ejecutiva de Prerrogativas y Partidos Políticos a presentar trimestralmente al Comité y al Consejo “informes detallando el avance en la instrumentación de la entrega electrónica de materiales y órdenes de transmisión”.</w:t>
      </w:r>
    </w:p>
    <w:p w14:paraId="2C1B8C4E" w14:textId="77777777" w:rsidR="00BE2F20" w:rsidRPr="00D64E6A" w:rsidRDefault="00BE2F20" w:rsidP="00BE2F20"/>
    <w:p w14:paraId="2C1B8C4F" w14:textId="77777777" w:rsidR="00BE2F20" w:rsidRPr="00D64E6A" w:rsidRDefault="00BE2F20" w:rsidP="00BE2F20">
      <w:r w:rsidRPr="00D64E6A">
        <w:t>En tal sentido, en la</w:t>
      </w:r>
      <w:r w:rsidR="003B516E" w:rsidRPr="00D64E6A">
        <w:t>s sesiones Décima Ordinaria</w:t>
      </w:r>
      <w:r w:rsidR="000C4E9B" w:rsidRPr="00D64E6A">
        <w:t xml:space="preserve"> de 2015</w:t>
      </w:r>
      <w:r w:rsidR="003B516E" w:rsidRPr="00D64E6A">
        <w:t>, v</w:t>
      </w:r>
      <w:r w:rsidRPr="00D64E6A">
        <w:t>erificada el 22 de octubre</w:t>
      </w:r>
      <w:r w:rsidR="00961AF8">
        <w:t>, y</w:t>
      </w:r>
      <w:r w:rsidR="003B516E" w:rsidRPr="00D64E6A">
        <w:t xml:space="preserve"> </w:t>
      </w:r>
      <w:r w:rsidR="000C4E9B" w:rsidRPr="00D64E6A">
        <w:t>Primera, Cuarta</w:t>
      </w:r>
      <w:r w:rsidR="00ED427D" w:rsidRPr="00D64E6A">
        <w:t>, y</w:t>
      </w:r>
      <w:r w:rsidR="000C4E9B" w:rsidRPr="00D64E6A">
        <w:t xml:space="preserve"> Séptima </w:t>
      </w:r>
      <w:r w:rsidR="00F36290" w:rsidRPr="00D64E6A">
        <w:t xml:space="preserve">ordinarias </w:t>
      </w:r>
      <w:r w:rsidR="003B516E" w:rsidRPr="00D64E6A">
        <w:t xml:space="preserve">de 2016, </w:t>
      </w:r>
      <w:r w:rsidR="00F36290" w:rsidRPr="00D64E6A">
        <w:t xml:space="preserve">celebradas el </w:t>
      </w:r>
      <w:r w:rsidR="000C4E9B" w:rsidRPr="00D64E6A">
        <w:t>29 de enero, 25 de abril, 21 de julio</w:t>
      </w:r>
      <w:r w:rsidR="00F36290" w:rsidRPr="00D64E6A">
        <w:t>,</w:t>
      </w:r>
      <w:r w:rsidR="000C4E9B" w:rsidRPr="00D64E6A">
        <w:t xml:space="preserve"> </w:t>
      </w:r>
      <w:r w:rsidRPr="00D64E6A">
        <w:t xml:space="preserve">el </w:t>
      </w:r>
      <w:r w:rsidR="007E72A4" w:rsidRPr="00D64E6A">
        <w:t>Comité</w:t>
      </w:r>
      <w:r w:rsidRPr="00D64E6A">
        <w:t xml:space="preserve"> conoció </w:t>
      </w:r>
      <w:r w:rsidR="00F36290" w:rsidRPr="00D64E6A">
        <w:t>cuatro</w:t>
      </w:r>
      <w:r w:rsidR="003B516E" w:rsidRPr="00D64E6A">
        <w:t xml:space="preserve"> informes</w:t>
      </w:r>
      <w:r w:rsidRPr="00D64E6A">
        <w:t xml:space="preserve"> trimestral</w:t>
      </w:r>
      <w:r w:rsidR="00F36290" w:rsidRPr="00D64E6A">
        <w:t>es</w:t>
      </w:r>
      <w:r w:rsidR="007E72A4" w:rsidRPr="00D64E6A">
        <w:t xml:space="preserve"> en el sentido ordenado por el Acuerdo INE/CG515/2015, sometiéndolos a la consideración del Consejo General.</w:t>
      </w:r>
    </w:p>
    <w:p w14:paraId="2C1B8C50" w14:textId="77777777" w:rsidR="003B516E" w:rsidRPr="00D64E6A" w:rsidRDefault="003B516E" w:rsidP="00BE2F20">
      <w:pPr>
        <w:rPr>
          <w:i/>
        </w:rPr>
      </w:pPr>
    </w:p>
    <w:p w14:paraId="2C1B8C51" w14:textId="77777777" w:rsidR="003B516E" w:rsidRPr="00D64E6A" w:rsidRDefault="003B516E" w:rsidP="00BE2F20">
      <w:r w:rsidRPr="00D64E6A">
        <w:t>Por otra parte, en la 8ª sesión ordinaria de 2016</w:t>
      </w:r>
      <w:r w:rsidR="00251F3A" w:rsidRPr="00D64E6A">
        <w:t xml:space="preserve"> celebrada el 23 de agosto</w:t>
      </w:r>
      <w:r w:rsidRPr="00D64E6A">
        <w:t>, se discutió y aprobó el a</w:t>
      </w:r>
      <w:r w:rsidR="007E72A4" w:rsidRPr="00D64E6A">
        <w:t xml:space="preserve">nteproyecto de Acuerdo del Consejo General del Instituto Nacional Electoral por el que se modifican los Lineamientos y el Cronograma aprobados mediante el diverso </w:t>
      </w:r>
      <w:r w:rsidR="00251F3A" w:rsidRPr="00D64E6A">
        <w:t>INE/CG</w:t>
      </w:r>
      <w:r w:rsidR="007E72A4" w:rsidRPr="00D64E6A">
        <w:t>515/2015, en virtud de la implementación de la carga electrónica de estrategias de transmisión, así como del Sistema Integral de Gestión de Requerimientos en Materia de Radio y Televisión.</w:t>
      </w:r>
    </w:p>
    <w:p w14:paraId="2C1B8C52" w14:textId="77777777" w:rsidR="007E72A4" w:rsidRPr="00D64E6A" w:rsidRDefault="007E72A4" w:rsidP="00BE2F20"/>
    <w:p w14:paraId="2C1B8C53" w14:textId="77777777" w:rsidR="003B516E" w:rsidRDefault="007E72A4" w:rsidP="00BE2F20">
      <w:r w:rsidRPr="00D64E6A">
        <w:t xml:space="preserve">Este anteproyecto, aprobado en sesión ordinaria del Consejo General celebrada el 26 de </w:t>
      </w:r>
      <w:r w:rsidR="004D637C" w:rsidRPr="00D64E6A">
        <w:t xml:space="preserve">agosto de 2016, </w:t>
      </w:r>
      <w:r w:rsidRPr="00D64E6A">
        <w:t>mediante Acuerdo INE/CG</w:t>
      </w:r>
      <w:r w:rsidR="004D637C" w:rsidRPr="00D64E6A">
        <w:t xml:space="preserve">602/2016, dispuso </w:t>
      </w:r>
      <w:r w:rsidR="00961AF8">
        <w:t>establecer como fecha de</w:t>
      </w:r>
      <w:r w:rsidR="00CD1E0D" w:rsidRPr="00D64E6A">
        <w:t xml:space="preserve"> inicio de operaciones del módulo de estrategias de transmisión </w:t>
      </w:r>
      <w:r w:rsidR="004D637C" w:rsidRPr="00D64E6A">
        <w:t xml:space="preserve">y </w:t>
      </w:r>
      <w:r w:rsidR="002A21B4" w:rsidRPr="00D64E6A">
        <w:t>de</w:t>
      </w:r>
      <w:r w:rsidR="00CD1E0D" w:rsidRPr="00D64E6A">
        <w:t xml:space="preserve"> </w:t>
      </w:r>
      <w:r w:rsidR="00FC2501" w:rsidRPr="00D64E6A">
        <w:t>entrada en funcionamiento</w:t>
      </w:r>
      <w:r w:rsidR="00CD1E0D" w:rsidRPr="00D64E6A">
        <w:t xml:space="preserve"> </w:t>
      </w:r>
      <w:r w:rsidR="00251F3A" w:rsidRPr="00D64E6A">
        <w:t>del Sistema Integral de Gestión de Requerimientos en Materia de Radio y Televisión</w:t>
      </w:r>
      <w:r w:rsidR="00CD1E0D" w:rsidRPr="00D64E6A">
        <w:t xml:space="preserve"> </w:t>
      </w:r>
      <w:r w:rsidR="008E5AED" w:rsidRPr="00D64E6A">
        <w:t>el 16 de enero de 2017</w:t>
      </w:r>
      <w:r w:rsidR="00CD1E0D" w:rsidRPr="00D64E6A">
        <w:t xml:space="preserve">, vinculando a la Dirección Ejecutiva de Prerrogativas y Partidos Políticos para que consulte a los </w:t>
      </w:r>
      <w:r w:rsidR="006253C8">
        <w:t>concesionarios de radio y televisión</w:t>
      </w:r>
      <w:r w:rsidR="00CD1E0D" w:rsidRPr="00D64E6A">
        <w:t>, durante el mes de octubre</w:t>
      </w:r>
      <w:r w:rsidR="008E5AED" w:rsidRPr="00D64E6A">
        <w:t xml:space="preserve"> de 2016</w:t>
      </w:r>
      <w:r w:rsidR="00CD1E0D" w:rsidRPr="00D64E6A">
        <w:t>, respecto de su</w:t>
      </w:r>
      <w:r w:rsidR="006253C8">
        <w:t xml:space="preserve"> interés en utilizar el sistema;</w:t>
      </w:r>
      <w:r w:rsidR="008E5AED" w:rsidRPr="00D64E6A">
        <w:t xml:space="preserve"> </w:t>
      </w:r>
      <w:r w:rsidR="006253C8">
        <w:t>y</w:t>
      </w:r>
      <w:r w:rsidR="008E5AED" w:rsidRPr="00D64E6A">
        <w:t xml:space="preserve"> para que realice</w:t>
      </w:r>
      <w:r w:rsidR="00CD1E0D" w:rsidRPr="00D64E6A">
        <w:t xml:space="preserve"> pruebas selectivas</w:t>
      </w:r>
      <w:r w:rsidR="006253C8">
        <w:t xml:space="preserve"> y jornadas de inducción y capacitación</w:t>
      </w:r>
      <w:r w:rsidR="00CD1E0D" w:rsidRPr="00D64E6A">
        <w:t xml:space="preserve"> </w:t>
      </w:r>
      <w:r w:rsidR="006253C8">
        <w:t>con</w:t>
      </w:r>
      <w:r w:rsidR="00CD1E0D" w:rsidRPr="00D64E6A">
        <w:t xml:space="preserve"> partidos políticos, concesionarios, autoridades y personal del Instituto</w:t>
      </w:r>
      <w:r w:rsidR="008E5AED" w:rsidRPr="00D64E6A">
        <w:t>,</w:t>
      </w:r>
      <w:r w:rsidR="002A21B4" w:rsidRPr="00D64E6A">
        <w:t xml:space="preserve"> </w:t>
      </w:r>
      <w:r w:rsidR="008E5AED" w:rsidRPr="00D64E6A">
        <w:t>a</w:t>
      </w:r>
      <w:r w:rsidR="00CD1E0D" w:rsidRPr="00D64E6A">
        <w:t xml:space="preserve"> fin de asegurar su funcionamiento óptimo en condiciones de operación real.</w:t>
      </w:r>
    </w:p>
    <w:p w14:paraId="2C1B8C54" w14:textId="77777777" w:rsidR="006253C8" w:rsidRPr="00D64E6A" w:rsidRDefault="006253C8" w:rsidP="00BE2F20"/>
    <w:p w14:paraId="2C1B8C55" w14:textId="77777777" w:rsidR="005A159E" w:rsidRPr="00D64E6A" w:rsidRDefault="00E616C9" w:rsidP="00783CDA">
      <w:pPr>
        <w:pStyle w:val="Ttulo2"/>
        <w:ind w:left="709" w:hanging="709"/>
        <w:rPr>
          <w:lang w:val="es-MX"/>
        </w:rPr>
      </w:pPr>
      <w:bookmarkStart w:id="5" w:name="_Toc460517101"/>
      <w:r w:rsidRPr="00D64E6A">
        <w:rPr>
          <w:lang w:val="es-MX"/>
        </w:rPr>
        <w:t xml:space="preserve">II. </w:t>
      </w:r>
      <w:r w:rsidR="00CE140C" w:rsidRPr="00D64E6A">
        <w:rPr>
          <w:lang w:val="es-MX"/>
        </w:rPr>
        <w:t>2</w:t>
      </w:r>
      <w:r w:rsidRPr="00D64E6A">
        <w:rPr>
          <w:lang w:val="es-MX"/>
        </w:rPr>
        <w:t>.</w:t>
      </w:r>
      <w:r w:rsidR="007E3EBE" w:rsidRPr="00D64E6A">
        <w:tab/>
      </w:r>
      <w:r w:rsidR="005A159E" w:rsidRPr="00D64E6A">
        <w:t>REGULACIONES PARA</w:t>
      </w:r>
      <w:r w:rsidR="00ED767E" w:rsidRPr="00D64E6A">
        <w:t xml:space="preserve"> </w:t>
      </w:r>
      <w:r w:rsidR="005A159E" w:rsidRPr="00D64E6A">
        <w:t>PROCESOS ELECTORALES LOCALES 2015-2016</w:t>
      </w:r>
      <w:r w:rsidR="00247A7C" w:rsidRPr="00D64E6A">
        <w:rPr>
          <w:lang w:val="es-MX"/>
        </w:rPr>
        <w:t>, Y 2016-2017</w:t>
      </w:r>
      <w:bookmarkEnd w:id="5"/>
    </w:p>
    <w:p w14:paraId="2C1B8C56" w14:textId="77777777" w:rsidR="005A159E" w:rsidRPr="00D64E6A" w:rsidRDefault="00E616C9" w:rsidP="00783CDA">
      <w:pPr>
        <w:pStyle w:val="Ttulo2"/>
        <w:ind w:left="709" w:hanging="709"/>
      </w:pPr>
      <w:bookmarkStart w:id="6" w:name="_Toc460517102"/>
      <w:r w:rsidRPr="00D64E6A">
        <w:rPr>
          <w:lang w:val="es-MX"/>
        </w:rPr>
        <w:t xml:space="preserve">II. </w:t>
      </w:r>
      <w:r w:rsidR="00CE140C" w:rsidRPr="00D64E6A">
        <w:rPr>
          <w:lang w:val="es-MX"/>
        </w:rPr>
        <w:t>2.1.</w:t>
      </w:r>
      <w:r w:rsidR="007E3EBE" w:rsidRPr="00D64E6A">
        <w:tab/>
      </w:r>
      <w:r w:rsidR="005A159E" w:rsidRPr="00D64E6A">
        <w:t>Aprobación de las pautas para los Procesos Electorales Locales 2015-2016</w:t>
      </w:r>
      <w:bookmarkEnd w:id="6"/>
    </w:p>
    <w:p w14:paraId="2C1B8C57" w14:textId="77777777" w:rsidR="005A159E" w:rsidRPr="00D64E6A" w:rsidRDefault="005A159E" w:rsidP="00DC6F16">
      <w:pPr>
        <w:rPr>
          <w:b/>
        </w:rPr>
      </w:pPr>
    </w:p>
    <w:p w14:paraId="2C1B8C58" w14:textId="77777777" w:rsidR="005A159E" w:rsidRPr="00D64E6A" w:rsidRDefault="006253C8" w:rsidP="005A159E">
      <w:r>
        <w:t>Durante el</w:t>
      </w:r>
      <w:r w:rsidR="005A159E" w:rsidRPr="00D64E6A">
        <w:t xml:space="preserve"> primer semestre </w:t>
      </w:r>
      <w:r w:rsidR="00ED767E" w:rsidRPr="00D64E6A">
        <w:t>de</w:t>
      </w:r>
      <w:r w:rsidR="005A159E" w:rsidRPr="00D64E6A">
        <w:t xml:space="preserve"> 2016</w:t>
      </w:r>
      <w:r w:rsidR="00AE1E68" w:rsidRPr="00D64E6A">
        <w:t xml:space="preserve"> tuvieron</w:t>
      </w:r>
      <w:r w:rsidR="005A159E" w:rsidRPr="00D64E6A">
        <w:t xml:space="preserve"> lugar </w:t>
      </w:r>
      <w:r w:rsidR="00365A43" w:rsidRPr="00D64E6A">
        <w:t>13</w:t>
      </w:r>
      <w:r w:rsidR="005A159E" w:rsidRPr="00D64E6A">
        <w:t xml:space="preserve"> Procesos Electorales Locales, </w:t>
      </w:r>
      <w:r>
        <w:t xml:space="preserve">para los que este Comité aprobó las pautas respectivas, </w:t>
      </w:r>
      <w:r w:rsidR="009B4A6E" w:rsidRPr="00D64E6A">
        <w:t xml:space="preserve">conforme a las fechas de inicio de </w:t>
      </w:r>
      <w:r>
        <w:t>las</w:t>
      </w:r>
      <w:r w:rsidR="002A21B4" w:rsidRPr="00D64E6A">
        <w:t xml:space="preserve"> etapas de precampañas</w:t>
      </w:r>
      <w:r>
        <w:t xml:space="preserve"> de cada uno de ellos</w:t>
      </w:r>
      <w:r w:rsidR="009B4A6E" w:rsidRPr="00D64E6A">
        <w:t xml:space="preserve">. </w:t>
      </w:r>
    </w:p>
    <w:p w14:paraId="2C1B8C59" w14:textId="77777777" w:rsidR="009B4A6E" w:rsidRPr="00D64E6A" w:rsidRDefault="009B4A6E" w:rsidP="005A159E"/>
    <w:p w14:paraId="2C1B8C5A" w14:textId="77777777" w:rsidR="00E00AFA" w:rsidRPr="00D64E6A" w:rsidRDefault="005A159E" w:rsidP="00E00AFA">
      <w:r w:rsidRPr="00D64E6A">
        <w:t xml:space="preserve">En </w:t>
      </w:r>
      <w:r w:rsidR="009B4A6E" w:rsidRPr="00D64E6A">
        <w:t xml:space="preserve">este sentido, </w:t>
      </w:r>
      <w:r w:rsidRPr="00D64E6A">
        <w:t>el Comité de Radio y Televisión aprobó en su Tercera Sesión Extraordinaria, celebrada el 17 de noviembre de 2015, las pautas para el Proceso Electoral Local 20</w:t>
      </w:r>
      <w:r w:rsidR="006253C8">
        <w:t xml:space="preserve">15-2016 en el estado de Durango, </w:t>
      </w:r>
      <w:r w:rsidRPr="00D64E6A">
        <w:t xml:space="preserve">mediante </w:t>
      </w:r>
      <w:r w:rsidR="006253C8">
        <w:t xml:space="preserve">el </w:t>
      </w:r>
      <w:r w:rsidRPr="00D64E6A">
        <w:t xml:space="preserve">Acuerdo </w:t>
      </w:r>
      <w:r w:rsidR="006253C8">
        <w:t xml:space="preserve">INE/ACRT/38/2015. Este instrumento </w:t>
      </w:r>
      <w:r w:rsidR="00E00AFA" w:rsidRPr="00D64E6A">
        <w:t xml:space="preserve">fue modificado mediante el </w:t>
      </w:r>
      <w:r w:rsidR="006253C8">
        <w:t>Acuerdo</w:t>
      </w:r>
      <w:r w:rsidR="00E00AFA" w:rsidRPr="00D64E6A">
        <w:t xml:space="preserve"> INE/ACRT/46/2015, en acatamiento a la sentencia de la Sala Superior del Tribunal Electoral del Poder Judicial de la Federación recaída al expediente SUP-RAP-756/2015.</w:t>
      </w:r>
    </w:p>
    <w:p w14:paraId="2C1B8C5B" w14:textId="77777777" w:rsidR="00E00AFA" w:rsidRPr="00D64E6A" w:rsidRDefault="00E00AFA" w:rsidP="005A159E"/>
    <w:p w14:paraId="2C1B8C5C" w14:textId="77777777" w:rsidR="005A159E" w:rsidRPr="00D64E6A" w:rsidRDefault="006253C8" w:rsidP="005A159E">
      <w:r>
        <w:t>E</w:t>
      </w:r>
      <w:r w:rsidR="005A159E" w:rsidRPr="00D64E6A">
        <w:t>n la Décim</w:t>
      </w:r>
      <w:r w:rsidR="009B4A6E" w:rsidRPr="00D64E6A">
        <w:t>a Primera Sesión O</w:t>
      </w:r>
      <w:r w:rsidR="005A159E" w:rsidRPr="00D64E6A">
        <w:t>rdinaria, celebrada el 30 de noviembre</w:t>
      </w:r>
      <w:r w:rsidR="006D4B60" w:rsidRPr="00D64E6A">
        <w:t>,</w:t>
      </w:r>
      <w:r w:rsidR="005A159E" w:rsidRPr="00D64E6A">
        <w:t xml:space="preserve"> </w:t>
      </w:r>
      <w:r w:rsidR="006D4B60" w:rsidRPr="00D64E6A">
        <w:t xml:space="preserve">el Comité </w:t>
      </w:r>
      <w:r w:rsidR="005A159E" w:rsidRPr="00D64E6A">
        <w:t>aprobó</w:t>
      </w:r>
      <w:r w:rsidR="00365A43" w:rsidRPr="00D64E6A">
        <w:t xml:space="preserve"> las pautas para los procesos electorales locales 2015-2016 en los estados de Tamaulipas, Tlaxcala, y Zacatecas. Lo anterior, mediante los acuerdos identificados con las claves INE/ACRT/42/2015; INE/ACRT/43/2015, e INE/ACRT/44/2015.</w:t>
      </w:r>
    </w:p>
    <w:p w14:paraId="2C1B8C5D" w14:textId="77777777" w:rsidR="005A159E" w:rsidRPr="00D64E6A" w:rsidRDefault="005A159E" w:rsidP="00DC6F16"/>
    <w:p w14:paraId="2C1B8C5E" w14:textId="77777777" w:rsidR="00217140" w:rsidRPr="00D64E6A" w:rsidRDefault="00217140" w:rsidP="00217140">
      <w:r w:rsidRPr="00D64E6A">
        <w:t>En la Décima Segunda Sesión Ordinaria, celebrada el 17 de d</w:t>
      </w:r>
      <w:r w:rsidR="002A21B4" w:rsidRPr="00D64E6A">
        <w:t xml:space="preserve">iciembre de 2015, se aprobó la </w:t>
      </w:r>
      <w:r w:rsidRPr="00D64E6A">
        <w:t>modificación a las pautas para los procesos electorales locales 2015-2016 en los es</w:t>
      </w:r>
      <w:r w:rsidR="00201CDD" w:rsidRPr="00D64E6A">
        <w:t xml:space="preserve">tados de Tamaulipas, Tlaxcala, </w:t>
      </w:r>
      <w:r w:rsidRPr="00D64E6A">
        <w:t xml:space="preserve">Zacatecas, mediante los acuerdos identificados con las claves INE/ACRT/48/2015, INE/ACRT/49/2015, </w:t>
      </w:r>
      <w:r w:rsidR="00355C3E" w:rsidRPr="00D64E6A">
        <w:t>y</w:t>
      </w:r>
      <w:r w:rsidRPr="00D64E6A">
        <w:t xml:space="preserve"> INE/ACRT/50/2015, respectivamente.</w:t>
      </w:r>
    </w:p>
    <w:p w14:paraId="2C1B8C5F" w14:textId="77777777" w:rsidR="00217140" w:rsidRPr="00D64E6A" w:rsidRDefault="00217140" w:rsidP="00217140"/>
    <w:p w14:paraId="2C1B8C60" w14:textId="77777777" w:rsidR="00217140" w:rsidRPr="00D64E6A" w:rsidRDefault="00217140" w:rsidP="00217140">
      <w:r w:rsidRPr="00D64E6A">
        <w:t>En la misma sesión, se aprobaron las pautas para los procesos electorales locales 2015-2016, en los estados de Aguascalientes, Hidalgo, Oaxaca y Veracruz, mediante los acuerdos identificados con las claves INE/ACRT/52</w:t>
      </w:r>
      <w:r w:rsidR="00BD70E4" w:rsidRPr="00D64E6A">
        <w:t>/</w:t>
      </w:r>
      <w:r w:rsidRPr="00D64E6A">
        <w:t>2015, INE/ACRT/53/2015, INE/ACRT/54/2015 e INE/ACRT/56/2015, respectivamente. Además, se aprobaron las pautas para el periodo de precampaña del proceso electoral local en el estado de Sinaloa, identificado con la clave INE/ACRT/55/2015.</w:t>
      </w:r>
    </w:p>
    <w:p w14:paraId="2C1B8C61" w14:textId="77777777" w:rsidR="002A21B4" w:rsidRPr="00D64E6A" w:rsidRDefault="002A21B4" w:rsidP="00217140"/>
    <w:p w14:paraId="2C1B8C62" w14:textId="77777777" w:rsidR="00201CDD" w:rsidRPr="00D64E6A" w:rsidRDefault="002A21B4" w:rsidP="002A21B4">
      <w:r w:rsidRPr="00D64E6A">
        <w:t>Ya en 2016,</w:t>
      </w:r>
      <w:r w:rsidR="00201CDD" w:rsidRPr="00D64E6A">
        <w:t xml:space="preserve"> se aprobaron las pautas para los Procesos Electorales Locales de Baja California, </w:t>
      </w:r>
      <w:r w:rsidRPr="00D64E6A">
        <w:t>Chihuahua</w:t>
      </w:r>
      <w:r w:rsidR="00201CDD" w:rsidRPr="00D64E6A">
        <w:t xml:space="preserve">, </w:t>
      </w:r>
      <w:r w:rsidRPr="00D64E6A">
        <w:t>Puebla</w:t>
      </w:r>
      <w:r w:rsidR="00201CDD" w:rsidRPr="00D64E6A">
        <w:t xml:space="preserve">, Quintana Roo, y las etapas de intercampaña y campaña </w:t>
      </w:r>
      <w:r w:rsidR="00AF786D" w:rsidRPr="00D64E6A">
        <w:t xml:space="preserve">en </w:t>
      </w:r>
      <w:r w:rsidRPr="00D64E6A">
        <w:t>Sinaloa</w:t>
      </w:r>
      <w:r w:rsidR="002A39B9" w:rsidRPr="00D64E6A">
        <w:t>, mediante los acuerdos INE/ACRT/04/</w:t>
      </w:r>
      <w:r w:rsidR="00E75858" w:rsidRPr="00D64E6A">
        <w:t>2</w:t>
      </w:r>
      <w:r w:rsidR="002A39B9" w:rsidRPr="00D64E6A">
        <w:t>016; INE/ACRT/01/</w:t>
      </w:r>
      <w:r w:rsidR="00E75858" w:rsidRPr="00D64E6A">
        <w:t>2</w:t>
      </w:r>
      <w:r w:rsidR="002A39B9" w:rsidRPr="00D64E6A">
        <w:t>016; INE/ACRT/0</w:t>
      </w:r>
      <w:r w:rsidR="00E75858" w:rsidRPr="00D64E6A">
        <w:t>3</w:t>
      </w:r>
      <w:r w:rsidR="002A39B9" w:rsidRPr="00D64E6A">
        <w:t>/</w:t>
      </w:r>
      <w:r w:rsidR="00E75858" w:rsidRPr="00D64E6A">
        <w:t>2</w:t>
      </w:r>
      <w:r w:rsidR="002A39B9" w:rsidRPr="00D64E6A">
        <w:t>016 INE/ACRT/0</w:t>
      </w:r>
      <w:r w:rsidR="00E75858" w:rsidRPr="00D64E6A">
        <w:t>2</w:t>
      </w:r>
      <w:r w:rsidR="002A39B9" w:rsidRPr="00D64E6A">
        <w:t>/</w:t>
      </w:r>
      <w:r w:rsidR="00E75858" w:rsidRPr="00D64E6A">
        <w:t>2</w:t>
      </w:r>
      <w:r w:rsidR="002A39B9" w:rsidRPr="00D64E6A">
        <w:t>016</w:t>
      </w:r>
      <w:r w:rsidR="00E75858" w:rsidRPr="00D64E6A">
        <w:t>, e</w:t>
      </w:r>
      <w:r w:rsidR="002A39B9" w:rsidRPr="00D64E6A">
        <w:t xml:space="preserve"> INE/ACRT/05/</w:t>
      </w:r>
      <w:r w:rsidR="00E75858" w:rsidRPr="00D64E6A">
        <w:t>2</w:t>
      </w:r>
      <w:r w:rsidR="002A39B9" w:rsidRPr="00D64E6A">
        <w:t>016</w:t>
      </w:r>
      <w:r w:rsidR="00E75858" w:rsidRPr="00D64E6A">
        <w:t>, respectivamente.</w:t>
      </w:r>
    </w:p>
    <w:p w14:paraId="2C1B8C63" w14:textId="77777777" w:rsidR="00201CDD" w:rsidRPr="00D64E6A" w:rsidRDefault="00201CDD" w:rsidP="002A21B4">
      <w:pPr>
        <w:rPr>
          <w:sz w:val="10"/>
          <w:szCs w:val="10"/>
        </w:rPr>
      </w:pPr>
    </w:p>
    <w:p w14:paraId="2C1B8C64" w14:textId="77777777" w:rsidR="00026335" w:rsidRPr="00D64E6A" w:rsidRDefault="00AF786D" w:rsidP="00DF23FA">
      <w:pPr>
        <w:spacing w:line="260" w:lineRule="exact"/>
      </w:pPr>
      <w:r w:rsidRPr="00D64E6A">
        <w:t>El Acuerdo INE/ACRT/05/</w:t>
      </w:r>
      <w:r w:rsidR="00E75858" w:rsidRPr="00D64E6A">
        <w:t>2</w:t>
      </w:r>
      <w:r w:rsidRPr="00D64E6A">
        <w:t xml:space="preserve">016 fue modificado dos veces por los diversos </w:t>
      </w:r>
      <w:r w:rsidR="00026335" w:rsidRPr="00D64E6A">
        <w:t>INE/ACRT/0</w:t>
      </w:r>
      <w:r w:rsidRPr="00D64E6A">
        <w:t>7</w:t>
      </w:r>
      <w:r w:rsidR="00026335" w:rsidRPr="00D64E6A">
        <w:t>/2016 e INE/ACRT/</w:t>
      </w:r>
      <w:r w:rsidRPr="00D64E6A">
        <w:t>12</w:t>
      </w:r>
      <w:r w:rsidR="00026335" w:rsidRPr="00D64E6A">
        <w:t>/2016</w:t>
      </w:r>
      <w:r w:rsidRPr="00D64E6A">
        <w:t xml:space="preserve">, </w:t>
      </w:r>
      <w:r w:rsidR="00BD07EB" w:rsidRPr="00D64E6A">
        <w:t>ante</w:t>
      </w:r>
      <w:r w:rsidRPr="00D64E6A">
        <w:t xml:space="preserve"> la singularidad </w:t>
      </w:r>
      <w:r w:rsidR="00026335" w:rsidRPr="00D64E6A">
        <w:t>de hab</w:t>
      </w:r>
      <w:r w:rsidR="006B5DE7" w:rsidRPr="00D64E6A">
        <w:t xml:space="preserve">erse </w:t>
      </w:r>
      <w:r w:rsidR="00BD07EB" w:rsidRPr="00D64E6A">
        <w:t>presentado, con semanas de diferencia,</w:t>
      </w:r>
      <w:r w:rsidR="006B5DE7" w:rsidRPr="00D64E6A">
        <w:t xml:space="preserve"> el registro y disolución de una coalición total</w:t>
      </w:r>
      <w:r w:rsidR="00026335" w:rsidRPr="00D64E6A">
        <w:t xml:space="preserve"> en Sinaloa.</w:t>
      </w:r>
    </w:p>
    <w:p w14:paraId="2C1B8C65" w14:textId="77777777" w:rsidR="00026335" w:rsidRPr="00D64E6A" w:rsidRDefault="00026335" w:rsidP="00DF23FA">
      <w:pPr>
        <w:spacing w:line="260" w:lineRule="exact"/>
      </w:pPr>
    </w:p>
    <w:p w14:paraId="2C1B8C66" w14:textId="77777777" w:rsidR="002A21B4" w:rsidRPr="00D64E6A" w:rsidRDefault="00247A7C" w:rsidP="00DF23FA">
      <w:pPr>
        <w:spacing w:line="260" w:lineRule="exact"/>
      </w:pPr>
      <w:r w:rsidRPr="00D64E6A">
        <w:t>Finalmente</w:t>
      </w:r>
      <w:r w:rsidR="00026335" w:rsidRPr="00D64E6A">
        <w:t xml:space="preserve">, los acuerdos de pautas para los Procesos Electorales Locales de </w:t>
      </w:r>
      <w:r w:rsidR="00A25B48" w:rsidRPr="00D64E6A">
        <w:t xml:space="preserve">Baja California, </w:t>
      </w:r>
      <w:r w:rsidR="00E75858" w:rsidRPr="00D64E6A">
        <w:t>Durango</w:t>
      </w:r>
      <w:r w:rsidR="00026335" w:rsidRPr="00D64E6A">
        <w:t xml:space="preserve">, </w:t>
      </w:r>
      <w:r w:rsidR="00E75858" w:rsidRPr="00D64E6A">
        <w:t xml:space="preserve">Puebla, </w:t>
      </w:r>
      <w:r w:rsidR="004E10B6" w:rsidRPr="00D64E6A">
        <w:t xml:space="preserve">Quintana Roo, </w:t>
      </w:r>
      <w:r w:rsidR="00201CDD" w:rsidRPr="00D64E6A">
        <w:t xml:space="preserve">Veracruz y Zacatecas </w:t>
      </w:r>
      <w:r w:rsidR="00026335" w:rsidRPr="00D64E6A">
        <w:t>se modificaron</w:t>
      </w:r>
      <w:r w:rsidR="006D4B60" w:rsidRPr="00D64E6A">
        <w:t>, respectivamente,</w:t>
      </w:r>
      <w:r w:rsidR="00026335" w:rsidRPr="00D64E6A">
        <w:t xml:space="preserve"> mediante los acuerdos </w:t>
      </w:r>
      <w:r w:rsidR="00A25B48" w:rsidRPr="00D64E6A">
        <w:t>INE/ACRT/1</w:t>
      </w:r>
      <w:r w:rsidR="00242C6D" w:rsidRPr="00D64E6A">
        <w:t>4</w:t>
      </w:r>
      <w:r w:rsidR="00A25B48" w:rsidRPr="00D64E6A">
        <w:t xml:space="preserve">/2016, </w:t>
      </w:r>
      <w:r w:rsidR="00026335" w:rsidRPr="00D64E6A">
        <w:t>INE/</w:t>
      </w:r>
      <w:r w:rsidR="004E10B6" w:rsidRPr="00D64E6A">
        <w:t xml:space="preserve">ACRT/15/2016, INE/ACRT/10/2016, </w:t>
      </w:r>
      <w:r w:rsidR="00242C6D" w:rsidRPr="00D64E6A">
        <w:t xml:space="preserve">INE/ACRT/17/2016, INE/ACRT/08/2016, e INE/ACRT/06/2016, debido al registro de coaliciones totales, candidaturas comunes o </w:t>
      </w:r>
      <w:r w:rsidR="006D4B60" w:rsidRPr="00D64E6A">
        <w:t>partidos políticos locales.</w:t>
      </w:r>
    </w:p>
    <w:p w14:paraId="2C1B8C67" w14:textId="77777777" w:rsidR="005A159E" w:rsidRPr="00D64E6A" w:rsidRDefault="005A159E" w:rsidP="00DC6F16"/>
    <w:p w14:paraId="2C1B8C68" w14:textId="77777777" w:rsidR="00DC6F16" w:rsidRPr="00D64E6A" w:rsidRDefault="00E616C9" w:rsidP="00DF23FA">
      <w:pPr>
        <w:pStyle w:val="Ttulo2"/>
        <w:spacing w:line="260" w:lineRule="exact"/>
        <w:ind w:left="709" w:hanging="709"/>
      </w:pPr>
      <w:bookmarkStart w:id="7" w:name="_Toc460517103"/>
      <w:r w:rsidRPr="00D64E6A">
        <w:rPr>
          <w:lang w:val="es-MX"/>
        </w:rPr>
        <w:t xml:space="preserve">II. </w:t>
      </w:r>
      <w:r w:rsidR="00CE140C" w:rsidRPr="00D64E6A">
        <w:rPr>
          <w:lang w:val="es-MX"/>
        </w:rPr>
        <w:t>2</w:t>
      </w:r>
      <w:r w:rsidR="005A159E" w:rsidRPr="00D64E6A">
        <w:t>.2</w:t>
      </w:r>
      <w:r w:rsidR="00CE140C" w:rsidRPr="00D64E6A">
        <w:rPr>
          <w:lang w:val="es-MX"/>
        </w:rPr>
        <w:t>.</w:t>
      </w:r>
      <w:r w:rsidR="00DC6F16" w:rsidRPr="00D64E6A">
        <w:tab/>
        <w:t>Aprobación del Catálogo de las emisoras de radio y televisión que participarán en la cobertura de los Procesos Electorales Locales que se llevarán a cabo en 2016, así como, en su caso, actualizar el Catálogo de los concesionarios autorizados para transmitir en idiomas distintos al español, y en lenguas indígenas</w:t>
      </w:r>
      <w:bookmarkEnd w:id="7"/>
    </w:p>
    <w:p w14:paraId="2C1B8C69" w14:textId="77777777" w:rsidR="00DC6F16" w:rsidRPr="00D64E6A" w:rsidRDefault="00DC6F16" w:rsidP="00DC6F16"/>
    <w:p w14:paraId="2C1B8C6A" w14:textId="77777777" w:rsidR="004602F5" w:rsidRPr="00D64E6A" w:rsidRDefault="00247A7C" w:rsidP="00DF23FA">
      <w:pPr>
        <w:spacing w:line="260" w:lineRule="exact"/>
      </w:pPr>
      <w:r w:rsidRPr="00D64E6A">
        <w:t xml:space="preserve">Quedó asentado en el </w:t>
      </w:r>
      <w:r w:rsidR="004602F5" w:rsidRPr="00D64E6A">
        <w:t xml:space="preserve">Informe Anual de Actividades 2015 del </w:t>
      </w:r>
      <w:r w:rsidR="00DC6F16" w:rsidRPr="00D64E6A">
        <w:t xml:space="preserve">Comité </w:t>
      </w:r>
      <w:r w:rsidR="004602F5" w:rsidRPr="00D64E6A">
        <w:t>la aprobación del</w:t>
      </w:r>
      <w:r w:rsidR="00DC6F16" w:rsidRPr="00D64E6A">
        <w:t xml:space="preserve"> catálogo de emisoras para el Proceso Electoral Local 201</w:t>
      </w:r>
      <w:r w:rsidR="004602F5" w:rsidRPr="00D64E6A">
        <w:t>5-2016 en el estado de Durango; d</w:t>
      </w:r>
      <w:r w:rsidR="00DC6F16" w:rsidRPr="00D64E6A">
        <w:t xml:space="preserve">el Catálogo de las emisoras que participarán en la cobertura del periodo ordinario, así como de los procesos electorales locales </w:t>
      </w:r>
      <w:r w:rsidR="004602F5" w:rsidRPr="00D64E6A">
        <w:t>llevados a cabo en 2016, y del C</w:t>
      </w:r>
      <w:r w:rsidR="00DC6F16" w:rsidRPr="00D64E6A">
        <w:t>atálogo de concesionarios autorizados para transmitir en idiomas distintos al español, y en lenguas indígenas</w:t>
      </w:r>
      <w:r w:rsidR="004602F5" w:rsidRPr="00D64E6A">
        <w:t>.</w:t>
      </w:r>
    </w:p>
    <w:p w14:paraId="2C1B8C6B" w14:textId="77777777" w:rsidR="004602F5" w:rsidRPr="00D64E6A" w:rsidRDefault="004602F5" w:rsidP="00DF23FA">
      <w:pPr>
        <w:spacing w:line="260" w:lineRule="exact"/>
      </w:pPr>
    </w:p>
    <w:p w14:paraId="2C1B8C6C" w14:textId="77777777" w:rsidR="00B45A5C" w:rsidRPr="00D64E6A" w:rsidRDefault="00E616C9" w:rsidP="00DF23FA">
      <w:pPr>
        <w:pStyle w:val="Ttulo2"/>
        <w:spacing w:line="260" w:lineRule="exact"/>
        <w:ind w:left="709" w:hanging="709"/>
      </w:pPr>
      <w:bookmarkStart w:id="8" w:name="_Toc460517104"/>
      <w:r w:rsidRPr="00D64E6A">
        <w:rPr>
          <w:lang w:val="es-MX"/>
        </w:rPr>
        <w:t xml:space="preserve">II. </w:t>
      </w:r>
      <w:r w:rsidR="00B45A5C" w:rsidRPr="00D64E6A">
        <w:rPr>
          <w:lang w:val="es-MX"/>
        </w:rPr>
        <w:t>2</w:t>
      </w:r>
      <w:r w:rsidR="00B45A5C" w:rsidRPr="00D64E6A">
        <w:t>.3</w:t>
      </w:r>
      <w:r w:rsidR="00B45A5C" w:rsidRPr="00D64E6A">
        <w:rPr>
          <w:lang w:val="es-MX"/>
        </w:rPr>
        <w:t>.</w:t>
      </w:r>
      <w:r w:rsidR="00B45A5C" w:rsidRPr="00D64E6A">
        <w:tab/>
      </w:r>
      <w:r w:rsidR="00B45A5C" w:rsidRPr="00D64E6A">
        <w:rPr>
          <w:lang w:val="es-MX"/>
        </w:rPr>
        <w:t>Elaboración</w:t>
      </w:r>
      <w:r w:rsidR="00B45A5C" w:rsidRPr="00D64E6A">
        <w:t xml:space="preserve"> del Catálogo de las emisoras de radio y televisión que participarán en la cobertura de los Procesos Electorales Locales que se llevarán a cabo en 201</w:t>
      </w:r>
      <w:r w:rsidR="00B45A5C" w:rsidRPr="00D64E6A">
        <w:rPr>
          <w:lang w:val="es-MX"/>
        </w:rPr>
        <w:t>7</w:t>
      </w:r>
      <w:bookmarkEnd w:id="8"/>
    </w:p>
    <w:p w14:paraId="2C1B8C6D" w14:textId="77777777" w:rsidR="00B45A5C" w:rsidRPr="00D64E6A" w:rsidRDefault="00B45A5C" w:rsidP="00DF23FA">
      <w:pPr>
        <w:spacing w:line="260" w:lineRule="exact"/>
      </w:pPr>
    </w:p>
    <w:p w14:paraId="2C1B8C6E" w14:textId="77777777" w:rsidR="009F6580" w:rsidRPr="00D64E6A" w:rsidRDefault="00B45A5C" w:rsidP="00DF23FA">
      <w:pPr>
        <w:spacing w:line="260" w:lineRule="exact"/>
      </w:pPr>
      <w:r w:rsidRPr="00D64E6A">
        <w:t>E</w:t>
      </w:r>
      <w:r w:rsidR="00621D51" w:rsidRPr="00D64E6A">
        <w:t>l Comit</w:t>
      </w:r>
      <w:r w:rsidR="009F6580" w:rsidRPr="00D64E6A">
        <w:t xml:space="preserve">é se planteó </w:t>
      </w:r>
      <w:r w:rsidR="003639B0" w:rsidRPr="00D64E6A">
        <w:t xml:space="preserve">en su sesión ordinaria de mayo de 2016, </w:t>
      </w:r>
      <w:r w:rsidR="009F6580" w:rsidRPr="00D64E6A">
        <w:t xml:space="preserve">que a partir de julio </w:t>
      </w:r>
      <w:r w:rsidR="003639B0" w:rsidRPr="00D64E6A">
        <w:t>del mismo año</w:t>
      </w:r>
      <w:r w:rsidR="009F6580" w:rsidRPr="00D64E6A">
        <w:t>, y una vez que se contase con los mapas de cobertura unidos con la cartografía, la Secretaría Técnica agendar</w:t>
      </w:r>
      <w:r w:rsidR="006253C8">
        <w:t>ía</w:t>
      </w:r>
      <w:r w:rsidR="009F6580" w:rsidRPr="00D64E6A">
        <w:t xml:space="preserve"> reuniones de trabajo con la finalidad de revisar el Catálogo de estaciones de radio y canales de televisión que aprobará el propio órgano colegiado para el año 2017.</w:t>
      </w:r>
    </w:p>
    <w:p w14:paraId="2C1B8C6F" w14:textId="77777777" w:rsidR="009F6580" w:rsidRPr="00D64E6A" w:rsidRDefault="009F6580" w:rsidP="00DF23FA">
      <w:pPr>
        <w:spacing w:line="260" w:lineRule="exact"/>
      </w:pPr>
    </w:p>
    <w:p w14:paraId="2C1B8C70" w14:textId="77777777" w:rsidR="003639B0" w:rsidRPr="00D64E6A" w:rsidRDefault="003639B0" w:rsidP="00DF23FA">
      <w:pPr>
        <w:spacing w:line="260" w:lineRule="exact"/>
      </w:pPr>
      <w:r w:rsidRPr="00D64E6A">
        <w:t>En la Sexta Sesión Ordinaria de 2016, celebrada el 17 de junio, el Comité acordó que la Secretaría Técnica circulara entre sus integrantes, con anticipación a la convocatoria a las reuniones de trabajo acordadas, los insumos necesarios, entre los que destacan los mapas de cobertura de las emisoras de radio y televisión.</w:t>
      </w:r>
    </w:p>
    <w:p w14:paraId="2C1B8C71" w14:textId="77777777" w:rsidR="003639B0" w:rsidRPr="00D64E6A" w:rsidRDefault="003639B0" w:rsidP="00DF23FA">
      <w:pPr>
        <w:spacing w:line="260" w:lineRule="exact"/>
      </w:pPr>
    </w:p>
    <w:p w14:paraId="2C1B8C72" w14:textId="77777777" w:rsidR="00DC6F16" w:rsidRPr="00D64E6A" w:rsidRDefault="00B45A5C" w:rsidP="00DF23FA">
      <w:pPr>
        <w:spacing w:line="260" w:lineRule="exact"/>
      </w:pPr>
      <w:r w:rsidRPr="00D64E6A">
        <w:t>Así</w:t>
      </w:r>
      <w:r w:rsidR="003639B0" w:rsidRPr="00D64E6A">
        <w:t xml:space="preserve">, </w:t>
      </w:r>
      <w:r w:rsidRPr="00D64E6A">
        <w:t xml:space="preserve">los integrantes del Comité recibieron diversa documentación relativa los aspectos antes identificados, así como las bases de datos a partir de las cuales se elaboran los mapas de cobertura, junto con una guía de utilización e información sobre el software libre para poder analizar dichas bases. Finalmente, </w:t>
      </w:r>
      <w:r w:rsidR="003639B0" w:rsidRPr="00D64E6A">
        <w:t xml:space="preserve">los días 4 y 12 de julio </w:t>
      </w:r>
      <w:r w:rsidRPr="00D64E6A">
        <w:t xml:space="preserve">de 2016 </w:t>
      </w:r>
      <w:r w:rsidR="003639B0" w:rsidRPr="00D64E6A">
        <w:t xml:space="preserve">se llevaron a cabo </w:t>
      </w:r>
      <w:r w:rsidRPr="00D64E6A">
        <w:t xml:space="preserve">las </w:t>
      </w:r>
      <w:r w:rsidR="003639B0" w:rsidRPr="00D64E6A">
        <w:t>reuniones de trabajo</w:t>
      </w:r>
      <w:r w:rsidRPr="00D64E6A">
        <w:t>,</w:t>
      </w:r>
      <w:r w:rsidR="003639B0" w:rsidRPr="00D64E6A">
        <w:t xml:space="preserve"> en las cuales se intercambiaron opiniones sobre la construcción </w:t>
      </w:r>
      <w:r w:rsidR="00A11318" w:rsidRPr="00D64E6A">
        <w:t>del Catálogo para el año 2017</w:t>
      </w:r>
      <w:r w:rsidR="003639B0" w:rsidRPr="00D64E6A">
        <w:t>.</w:t>
      </w:r>
    </w:p>
    <w:p w14:paraId="2C1B8C73" w14:textId="77777777" w:rsidR="003626E1" w:rsidRPr="00D64E6A" w:rsidRDefault="003626E1" w:rsidP="003639B0"/>
    <w:p w14:paraId="2C1B8C74" w14:textId="77777777" w:rsidR="00DC6F16" w:rsidRPr="00D64E6A" w:rsidRDefault="004D179A" w:rsidP="00783CDA">
      <w:pPr>
        <w:pStyle w:val="Ttulo2"/>
        <w:ind w:left="709" w:hanging="709"/>
      </w:pPr>
      <w:bookmarkStart w:id="9" w:name="_Toc460517105"/>
      <w:r w:rsidRPr="00D64E6A">
        <w:rPr>
          <w:lang w:val="es-MX"/>
        </w:rPr>
        <w:t xml:space="preserve">II. </w:t>
      </w:r>
      <w:r w:rsidR="00CE140C" w:rsidRPr="00D64E6A">
        <w:rPr>
          <w:lang w:val="es-MX"/>
        </w:rPr>
        <w:t>2</w:t>
      </w:r>
      <w:r w:rsidRPr="00D64E6A">
        <w:t>.4</w:t>
      </w:r>
      <w:r w:rsidR="00CE140C" w:rsidRPr="00D64E6A">
        <w:rPr>
          <w:lang w:val="es-MX"/>
        </w:rPr>
        <w:t>.</w:t>
      </w:r>
      <w:r w:rsidR="00DC6F16" w:rsidRPr="00D64E6A">
        <w:tab/>
        <w:t>Aprobar el Acuerdo por el que se establecen los términos y condiciones para la entrega de materiales por parte de los partidos políticos, candidatos/as independientes y autoridades electorales</w:t>
      </w:r>
      <w:bookmarkEnd w:id="9"/>
    </w:p>
    <w:p w14:paraId="2C1B8C75" w14:textId="77777777" w:rsidR="00DC6F16" w:rsidRPr="00D64E6A" w:rsidRDefault="00DC6F16" w:rsidP="00DC6F16"/>
    <w:p w14:paraId="2C1B8C76" w14:textId="77777777" w:rsidR="00DC6F16" w:rsidRPr="00D64E6A" w:rsidRDefault="00DC6F16" w:rsidP="00DC6F16">
      <w:r w:rsidRPr="00D64E6A">
        <w:t>De conformidad con las disposiciones legales y reglamentarias en materia de administración de los tiempos de Estado en radio y televisión, el Comité de Radio y Televisión debe aprobar los requisitos, procedimientos y demás formalidades para que los diversos actores con derecho de acceso a dichos medios entreguen sus materiales a la Dirección Ejecutiva de Prerrogativas y Partidos Políticos.</w:t>
      </w:r>
    </w:p>
    <w:p w14:paraId="2C1B8C77" w14:textId="77777777" w:rsidR="00DC6F16" w:rsidRPr="00D64E6A" w:rsidRDefault="00DC6F16" w:rsidP="00DC6F16"/>
    <w:p w14:paraId="2C1B8C78" w14:textId="77777777" w:rsidR="00DC6F16" w:rsidRPr="00D64E6A" w:rsidRDefault="00DC6F16" w:rsidP="00DC6F16">
      <w:r w:rsidRPr="00D64E6A">
        <w:t xml:space="preserve">Lo anterior ocurre anualmente y, </w:t>
      </w:r>
      <w:r w:rsidR="00B26C91" w:rsidRPr="00D64E6A">
        <w:t>al efecto</w:t>
      </w:r>
      <w:r w:rsidRPr="00D64E6A">
        <w:t xml:space="preserve">, el Comité aprobó en su Décima Sesión Ordinaria, celebrada el 22 de octubre de </w:t>
      </w:r>
      <w:r w:rsidR="000F1C37" w:rsidRPr="00D64E6A">
        <w:t>ese año</w:t>
      </w:r>
      <w:r w:rsidR="006253C8">
        <w:t>,</w:t>
      </w:r>
      <w:r w:rsidRPr="00D64E6A">
        <w:t xml:space="preserve"> el Acuerdo INE/ACRT/34/2015.</w:t>
      </w:r>
    </w:p>
    <w:p w14:paraId="2C1B8C79" w14:textId="77777777" w:rsidR="00DC6F16" w:rsidRPr="00D64E6A" w:rsidRDefault="00DC6F16" w:rsidP="00DC6F16"/>
    <w:p w14:paraId="2C1B8C7A" w14:textId="77777777" w:rsidR="00DC6F16" w:rsidRPr="00D64E6A" w:rsidRDefault="006253C8" w:rsidP="00DC6F16">
      <w:r>
        <w:t>Cabe destacar que</w:t>
      </w:r>
      <w:r w:rsidR="00DC6F16" w:rsidRPr="00D64E6A">
        <w:t xml:space="preserve"> dicho Acuerdo tuvo en cuenta</w:t>
      </w:r>
      <w:r w:rsidR="00ED767E" w:rsidRPr="00D64E6A">
        <w:t>, por primera vez,</w:t>
      </w:r>
      <w:r w:rsidR="00DC6F16" w:rsidRPr="00D64E6A">
        <w:t xml:space="preserve"> lo dispuesto en los “Lineamientos aplicables para la entrega y recepción electrónica o satelital de las órdenes de transmisión y materiales”, aprobados por el </w:t>
      </w:r>
      <w:r w:rsidR="004D179A" w:rsidRPr="00D64E6A">
        <w:t xml:space="preserve">ya comentado </w:t>
      </w:r>
      <w:r w:rsidR="00E616C9" w:rsidRPr="00D64E6A">
        <w:t>Acuerdo INE/CG515/2015</w:t>
      </w:r>
      <w:r w:rsidR="00DC6F16" w:rsidRPr="00D64E6A">
        <w:t>.</w:t>
      </w:r>
    </w:p>
    <w:p w14:paraId="2C1B8C7B" w14:textId="77777777" w:rsidR="00DC6F16" w:rsidRPr="00D64E6A" w:rsidRDefault="00DC6F16" w:rsidP="00DC6F16"/>
    <w:p w14:paraId="2C1B8C7C" w14:textId="77777777" w:rsidR="004D179A" w:rsidRPr="00D64E6A" w:rsidRDefault="004D179A" w:rsidP="00DC6F16">
      <w:r w:rsidRPr="00D64E6A">
        <w:t>Ahora bien,</w:t>
      </w:r>
      <w:r w:rsidR="00150690" w:rsidRPr="00D64E6A">
        <w:t xml:space="preserve"> dado que </w:t>
      </w:r>
      <w:r w:rsidRPr="00D64E6A">
        <w:t>el Instituto Federal de Telecomunicaciones notificó al Instituto Nacional Electoral los acuerdos mediante los cuales se aprobó la transición digital de diversos canales de televisión</w:t>
      </w:r>
      <w:r w:rsidR="00150690" w:rsidRPr="00D64E6A">
        <w:t>, se aprobó en la Tercera Sesión Ordinaria de 2016, celebrada el 17 de marzo, el</w:t>
      </w:r>
      <w:r w:rsidR="006253C8">
        <w:t xml:space="preserve"> Acuerdo INE/ACRT/13/2016</w:t>
      </w:r>
      <w:r w:rsidRPr="00D64E6A">
        <w:t xml:space="preserve"> por el cual se modificó el diverso INE/ACRT/34/2015</w:t>
      </w:r>
      <w:r w:rsidR="00B26C91" w:rsidRPr="00D64E6A">
        <w:t xml:space="preserve"> </w:t>
      </w:r>
      <w:r w:rsidR="006253C8">
        <w:t>para que</w:t>
      </w:r>
      <w:r w:rsidR="00B26C91" w:rsidRPr="00D64E6A">
        <w:t xml:space="preserve"> tanto candidatos ind</w:t>
      </w:r>
      <w:r w:rsidR="006253C8">
        <w:t>ependientes, partidos políticos y</w:t>
      </w:r>
      <w:r w:rsidR="00B26C91" w:rsidRPr="00D64E6A">
        <w:t xml:space="preserve"> autoridades electorales, como los concesionarios, se benefici</w:t>
      </w:r>
      <w:r w:rsidR="006253C8">
        <w:t>asen</w:t>
      </w:r>
      <w:r w:rsidR="00B26C91" w:rsidRPr="00D64E6A">
        <w:t xml:space="preserve"> del objetivo de la Política para la Transición a la Televisión Digital Terrestre</w:t>
      </w:r>
      <w:r w:rsidR="00150690" w:rsidRPr="00D64E6A">
        <w:t>.</w:t>
      </w:r>
    </w:p>
    <w:p w14:paraId="2C1B8C7D" w14:textId="77777777" w:rsidR="000F1C37" w:rsidRPr="00D64E6A" w:rsidRDefault="000F1C37" w:rsidP="00DC6F16"/>
    <w:p w14:paraId="2C1B8C7E" w14:textId="77777777" w:rsidR="006253C8" w:rsidRDefault="00150690" w:rsidP="00F2093C">
      <w:r w:rsidRPr="00D64E6A">
        <w:t xml:space="preserve">Tiempo después, </w:t>
      </w:r>
      <w:r w:rsidR="006253C8">
        <w:t xml:space="preserve">derivado de </w:t>
      </w:r>
      <w:r w:rsidR="006253C8" w:rsidRPr="00D64E6A">
        <w:t>las sentencias recaídas a los expedientes SRE-PSC-27/2016, SR</w:t>
      </w:r>
      <w:r w:rsidR="006253C8">
        <w:t>E-PSC-28/2016 y SRE-PSC-29/2016</w:t>
      </w:r>
      <w:r w:rsidR="006253C8" w:rsidRPr="00D64E6A">
        <w:t xml:space="preserve"> de la Sala Especializada del Tribunal Electoral del Poder Judicial </w:t>
      </w:r>
      <w:r w:rsidR="006253C8">
        <w:t>de la Federación, fue necesario modificar nuevamente l</w:t>
      </w:r>
      <w:r w:rsidR="00D414B0" w:rsidRPr="00D64E6A">
        <w:t xml:space="preserve">os términos y condiciones para la entrega de materiales. </w:t>
      </w:r>
    </w:p>
    <w:p w14:paraId="2C1B8C7F" w14:textId="77777777" w:rsidR="006253C8" w:rsidRDefault="006253C8" w:rsidP="00F2093C"/>
    <w:p w14:paraId="2C1B8C80" w14:textId="77777777" w:rsidR="00F2093C" w:rsidRPr="00D64E6A" w:rsidRDefault="00F2093C" w:rsidP="00F2093C">
      <w:r w:rsidRPr="00D64E6A">
        <w:t xml:space="preserve">Es pertinente precisar que </w:t>
      </w:r>
      <w:r w:rsidR="00A60602" w:rsidRPr="00D64E6A">
        <w:t xml:space="preserve">el Acuerdo INE/ACRT/34/2015 preveía como recomendación a los partidos políticos, candidatos independientes y autoridades electorales, subtitular sus materiales, y que </w:t>
      </w:r>
      <w:r w:rsidRPr="00D64E6A">
        <w:t>una de las líneas de acción previstas por el Plan de Trabajo Anual 2016 consistía en “formular una agenda de trabajo con instituciones dedicadas a prevenir la discriminación”.</w:t>
      </w:r>
    </w:p>
    <w:p w14:paraId="2C1B8C81" w14:textId="77777777" w:rsidR="00F2093C" w:rsidRPr="00D64E6A" w:rsidRDefault="00F2093C" w:rsidP="00F2093C"/>
    <w:p w14:paraId="2C1B8C82" w14:textId="77777777" w:rsidR="00F2093C" w:rsidRPr="00D64E6A" w:rsidRDefault="00F2093C" w:rsidP="00F2093C">
      <w:r w:rsidRPr="00D64E6A">
        <w:t xml:space="preserve">Lo anterior, toda vez que en 2015 el Comité conoció de comunicaciones de la Comisión Nacional de Derechos Humanos y el Consejo Nacional para Prevenir la Discriminación en el sentido de </w:t>
      </w:r>
      <w:r w:rsidR="00FD0449" w:rsidRPr="00D64E6A">
        <w:t>subrayar</w:t>
      </w:r>
      <w:r w:rsidRPr="00D64E6A">
        <w:t xml:space="preserve"> la necesidad de que los materiales de los partidos políticos incorporasen ajustes de accesibilidad y comunicación que garanticen a las personas que integran la comunidad con discapacidad auditiva el acceso a la su oferta política.</w:t>
      </w:r>
    </w:p>
    <w:p w14:paraId="2C1B8C83" w14:textId="77777777" w:rsidR="00FD0449" w:rsidRPr="00D64E6A" w:rsidRDefault="00FD0449" w:rsidP="00F2093C"/>
    <w:p w14:paraId="2C1B8C84" w14:textId="77777777" w:rsidR="000F1C37" w:rsidRPr="00D64E6A" w:rsidRDefault="00FD0449" w:rsidP="00F2093C">
      <w:r w:rsidRPr="00D64E6A">
        <w:t xml:space="preserve">En tal sentido, el </w:t>
      </w:r>
      <w:r w:rsidR="00F2093C" w:rsidRPr="00D64E6A">
        <w:t xml:space="preserve">Comité </w:t>
      </w:r>
      <w:r w:rsidRPr="00D64E6A">
        <w:t>previó reunirse</w:t>
      </w:r>
      <w:r w:rsidR="00F2093C" w:rsidRPr="00D64E6A">
        <w:t xml:space="preserve"> con especialistas del Consejo Nacional para el Desarrollo y la Inclusión de las Personas con Discapacidad</w:t>
      </w:r>
      <w:r w:rsidR="00A60602" w:rsidRPr="00D64E6A">
        <w:t xml:space="preserve">, </w:t>
      </w:r>
      <w:r w:rsidR="00F2093C" w:rsidRPr="00D64E6A">
        <w:t>a efecto de conocer recomendaciones o directrices que permitan a los partidos políticos cumplir con dicha garantía al momento de producir sus materiales.</w:t>
      </w:r>
    </w:p>
    <w:p w14:paraId="2C1B8C85" w14:textId="77777777" w:rsidR="00FD0449" w:rsidRPr="00D64E6A" w:rsidRDefault="00FD0449" w:rsidP="00F2093C"/>
    <w:p w14:paraId="2C1B8C86" w14:textId="77777777" w:rsidR="00FD0449" w:rsidRPr="00D64E6A" w:rsidRDefault="00FD0449" w:rsidP="00F2093C">
      <w:r w:rsidRPr="00D64E6A">
        <w:t>Sin embargo, derivado de procedimientos sancionadores en materia electoral,</w:t>
      </w:r>
      <w:r w:rsidR="00A60602" w:rsidRPr="00D64E6A">
        <w:t xml:space="preserve"> sustanciados por la vía contenciosa,</w:t>
      </w:r>
      <w:r w:rsidRPr="00D64E6A">
        <w:t xml:space="preserve"> la mencionada Sala Especializada emitió los fallos antes enlistados, que impulsaron la a</w:t>
      </w:r>
      <w:r w:rsidR="001B181C" w:rsidRPr="00D64E6A">
        <w:t xml:space="preserve">tención de este tema, ordenando, conforme a su potestad jurisdiccional, </w:t>
      </w:r>
      <w:r w:rsidRPr="00D64E6A">
        <w:t xml:space="preserve">el </w:t>
      </w:r>
      <w:r w:rsidR="001B181C" w:rsidRPr="00D64E6A">
        <w:t xml:space="preserve">inmediato </w:t>
      </w:r>
      <w:r w:rsidRPr="00D64E6A">
        <w:t xml:space="preserve">subtitulado de los promocionales de </w:t>
      </w:r>
      <w:r w:rsidR="001B181C" w:rsidRPr="00D64E6A">
        <w:t xml:space="preserve">televisión, lo que </w:t>
      </w:r>
      <w:r w:rsidR="00A60602" w:rsidRPr="00D64E6A">
        <w:t>condujo a la modificaci</w:t>
      </w:r>
      <w:r w:rsidR="003626E1" w:rsidRPr="00D64E6A">
        <w:t>ón, por parte del Comité, del Acuerdo INE/ACRT/13/2016 “a fin de que los partidos políticos, coaliciones y candidatos independientes, así como las autoridades electorales, en la producción de sus promocionales de televisión incluyan subtítulos que sean congruentes con el audio correspondiente”. El Acuerdo modificatorio fue aprobado en la Cuarta Sesión Ordinaria de 2016, celebrada el 25 de abril, y le recayó la clave INE/ACRT/1</w:t>
      </w:r>
      <w:r w:rsidR="002C5213" w:rsidRPr="00D64E6A">
        <w:t>8</w:t>
      </w:r>
      <w:r w:rsidR="003626E1" w:rsidRPr="00D64E6A">
        <w:t>/2016.</w:t>
      </w:r>
    </w:p>
    <w:p w14:paraId="2C1B8C87" w14:textId="77777777" w:rsidR="0064707E" w:rsidRPr="00D64E6A" w:rsidRDefault="0064707E" w:rsidP="0064707E">
      <w:pPr>
        <w:rPr>
          <w:lang w:val="x-none"/>
        </w:rPr>
      </w:pPr>
    </w:p>
    <w:p w14:paraId="2C1B8C88" w14:textId="77777777" w:rsidR="00DC6F16" w:rsidRPr="00D64E6A" w:rsidRDefault="003360EA" w:rsidP="007E3EBE">
      <w:pPr>
        <w:pStyle w:val="Ttulo2"/>
      </w:pPr>
      <w:bookmarkStart w:id="10" w:name="_Toc460517106"/>
      <w:r w:rsidRPr="00D64E6A">
        <w:rPr>
          <w:lang w:val="es-MX"/>
        </w:rPr>
        <w:t>II.3.</w:t>
      </w:r>
      <w:r w:rsidR="007E3EBE" w:rsidRPr="00D64E6A">
        <w:tab/>
      </w:r>
      <w:r w:rsidR="00DC6F16" w:rsidRPr="00D64E6A">
        <w:t>REGULACIONES DE PERIODO ORDINARIO</w:t>
      </w:r>
      <w:bookmarkEnd w:id="10"/>
      <w:r w:rsidR="00DC6F16" w:rsidRPr="00D64E6A">
        <w:t xml:space="preserve"> </w:t>
      </w:r>
    </w:p>
    <w:p w14:paraId="2C1B8C89" w14:textId="77777777" w:rsidR="00DC6F16" w:rsidRPr="00D64E6A" w:rsidRDefault="003360EA" w:rsidP="00783CDA">
      <w:pPr>
        <w:pStyle w:val="Ttulo2"/>
        <w:ind w:left="709" w:hanging="709"/>
      </w:pPr>
      <w:bookmarkStart w:id="11" w:name="_Toc460517107"/>
      <w:r w:rsidRPr="00D64E6A">
        <w:rPr>
          <w:lang w:val="es-MX"/>
        </w:rPr>
        <w:t>II.3.</w:t>
      </w:r>
      <w:r w:rsidR="00DC6F16" w:rsidRPr="00D64E6A">
        <w:t>1</w:t>
      </w:r>
      <w:r w:rsidRPr="00D64E6A">
        <w:t>.</w:t>
      </w:r>
      <w:r w:rsidR="007E3EBE" w:rsidRPr="00D64E6A">
        <w:tab/>
      </w:r>
      <w:r w:rsidR="00DC6F16" w:rsidRPr="00D64E6A">
        <w:t>Aprobación de las pautas de transmisión correspondientes a los mensajes de los partidos políticos en periodo ordinario</w:t>
      </w:r>
      <w:bookmarkEnd w:id="11"/>
    </w:p>
    <w:p w14:paraId="2C1B8C8A" w14:textId="77777777" w:rsidR="00DC6F16" w:rsidRPr="00D64E6A" w:rsidRDefault="00DC6F16" w:rsidP="00DC6F16"/>
    <w:p w14:paraId="2C1B8C8B" w14:textId="77777777" w:rsidR="00DC6F16" w:rsidRPr="00D64E6A" w:rsidRDefault="00205A78" w:rsidP="00DC6F16">
      <w:r w:rsidRPr="00D64E6A">
        <w:t>Las</w:t>
      </w:r>
      <w:r w:rsidR="00DC6F16" w:rsidRPr="00D64E6A">
        <w:t xml:space="preserve"> pautas relativas al periodo ordinario durante el segundo semestre de 2015 fueron aprobadas en la Quinta Sesión Ordinaria </w:t>
      </w:r>
      <w:r w:rsidR="0003083A" w:rsidRPr="00D64E6A">
        <w:t>de ese año</w:t>
      </w:r>
      <w:r w:rsidR="00DC6F16" w:rsidRPr="00D64E6A">
        <w:t>, celebrada el 21 de mayo, mediante Acuerdo INE/ACRT/32/2015.</w:t>
      </w:r>
    </w:p>
    <w:p w14:paraId="2C1B8C8C" w14:textId="77777777" w:rsidR="00DC6F16" w:rsidRPr="00D64E6A" w:rsidRDefault="00DC6F16" w:rsidP="00DC6F16"/>
    <w:p w14:paraId="2C1B8C8D" w14:textId="77777777" w:rsidR="00DC6F16" w:rsidRPr="00D64E6A" w:rsidRDefault="00AE1E68" w:rsidP="00DC6F16">
      <w:r w:rsidRPr="00D64E6A">
        <w:t>A</w:t>
      </w:r>
      <w:r w:rsidR="00DC6F16" w:rsidRPr="00D64E6A">
        <w:t>nte</w:t>
      </w:r>
      <w:r w:rsidR="005C1CF8" w:rsidRPr="00D64E6A">
        <w:t xml:space="preserve"> la declaratoria de pérdida de</w:t>
      </w:r>
      <w:r w:rsidR="00DC6F16" w:rsidRPr="00D64E6A">
        <w:t xml:space="preserve"> registro de los partidos políticos nacionales del Trabajo y Humanista</w:t>
      </w:r>
      <w:r w:rsidR="005C1CF8" w:rsidRPr="00D64E6A">
        <w:t>, emitida por</w:t>
      </w:r>
      <w:r w:rsidR="00DC6F16" w:rsidRPr="00D64E6A">
        <w:t xml:space="preserve"> la Junta General Ejecutiva el 3 de septiembre de 2015</w:t>
      </w:r>
      <w:r w:rsidR="005C1CF8" w:rsidRPr="00D64E6A">
        <w:t>,</w:t>
      </w:r>
      <w:r w:rsidR="00DC6F16" w:rsidRPr="00D64E6A">
        <w:t xml:space="preserve"> mediante resoluciones INE/JGE110/2015 e I</w:t>
      </w:r>
      <w:r w:rsidR="005C1CF8" w:rsidRPr="00D64E6A">
        <w:t>NE/JGE111/2015, respectivamente</w:t>
      </w:r>
      <w:r w:rsidR="00DC6F16" w:rsidRPr="00D64E6A">
        <w:t>, el Comité aprobó la modificación del Acuerdo INE/ACRT/32/2015 en su Novena Sesión Ordinaria, celebrada el 28 de septiembre de 2015, mediante el diverso INE/ACRT/33/2015.</w:t>
      </w:r>
    </w:p>
    <w:p w14:paraId="2C1B8C8E" w14:textId="77777777" w:rsidR="00DC6F16" w:rsidRPr="00D64E6A" w:rsidRDefault="00DC6F16" w:rsidP="00DC6F16"/>
    <w:p w14:paraId="2C1B8C8F" w14:textId="77777777" w:rsidR="00DC6F16" w:rsidRPr="00D64E6A" w:rsidRDefault="00DC6F16" w:rsidP="00DC6F16">
      <w:r w:rsidRPr="00D64E6A">
        <w:t>La pérdida del registro local del Partido de los Pobres de Guerrero condujo a la modificación de este último instrumento, mediante el Acuerdo INE/ACRT/35/2015, aprobado en la Décima Sesión Ordinaria del Comité, celebrada el 22 de octubre del año que se informa.</w:t>
      </w:r>
    </w:p>
    <w:p w14:paraId="2C1B8C90" w14:textId="77777777" w:rsidR="00DC6F16" w:rsidRPr="00D64E6A" w:rsidRDefault="00DC6F16" w:rsidP="00DC6F16"/>
    <w:p w14:paraId="2C1B8C91" w14:textId="77777777" w:rsidR="00DC6F16" w:rsidRPr="00D64E6A" w:rsidRDefault="00DC6F16" w:rsidP="00DC6F16">
      <w:r w:rsidRPr="00D64E6A">
        <w:t xml:space="preserve">Ahora bien, con motivo de las sentencias SUP-RAP-654/2015 </w:t>
      </w:r>
      <w:r w:rsidR="00E00AFA" w:rsidRPr="00D64E6A">
        <w:t>y acumulados</w:t>
      </w:r>
      <w:r w:rsidRPr="00D64E6A">
        <w:t xml:space="preserve">, y SUP-JDC-1710/2015 </w:t>
      </w:r>
      <w:r w:rsidR="00E00AFA" w:rsidRPr="00D64E6A">
        <w:t>y acumulados</w:t>
      </w:r>
      <w:r w:rsidRPr="00D64E6A">
        <w:t>, dictadas por la Sala Superior del Tribunal Electoral del Poder Judicial de la Federación, se determinó dejar sin efectos las declaratorias de pérdida de registro de los partidos del Trabajo y Humanista, así como todos los actos administrativos realizados en ejecución o como consecuencia de la emisión de dichas declaratorias, lo cual afectó al Acuerdo del Comité con clave INE/ACRT/33/2015.</w:t>
      </w:r>
    </w:p>
    <w:p w14:paraId="2C1B8C92" w14:textId="77777777" w:rsidR="00DC6F16" w:rsidRPr="00D64E6A" w:rsidRDefault="00DC6F16" w:rsidP="00DC6F16"/>
    <w:p w14:paraId="2C1B8C93" w14:textId="77777777" w:rsidR="00DC6F16" w:rsidRPr="00D64E6A" w:rsidRDefault="00DC6F16" w:rsidP="00DF23FA">
      <w:pPr>
        <w:spacing w:line="260" w:lineRule="exact"/>
      </w:pPr>
      <w:r w:rsidRPr="00D64E6A">
        <w:t>Ade</w:t>
      </w:r>
      <w:r w:rsidR="009D2193" w:rsidRPr="00D64E6A">
        <w:t xml:space="preserve">más, la Sala Superior vinculó al Instituto Nacional Electoral a emitir nuevas declaratorias. Así, </w:t>
      </w:r>
      <w:r w:rsidRPr="00D64E6A">
        <w:t xml:space="preserve">en sesión extraordinaria del 6 de noviembre de 2015, </w:t>
      </w:r>
      <w:r w:rsidR="009D2193" w:rsidRPr="00D64E6A">
        <w:t xml:space="preserve">el Consejo General </w:t>
      </w:r>
      <w:r w:rsidRPr="00D64E6A">
        <w:t xml:space="preserve">aprobó las resoluciones INE/CG936/2015 e INE/CG937/2015, resolviendo </w:t>
      </w:r>
      <w:r w:rsidR="009D2193" w:rsidRPr="00D64E6A">
        <w:t xml:space="preserve">de nueva cuenta </w:t>
      </w:r>
      <w:r w:rsidRPr="00D64E6A">
        <w:t>la pérdida del registro de los partidos del Trabajo y Humanista.</w:t>
      </w:r>
    </w:p>
    <w:p w14:paraId="2C1B8C94" w14:textId="77777777" w:rsidR="00DC6F16" w:rsidRPr="00D64E6A" w:rsidRDefault="00DC6F16" w:rsidP="00DF23FA">
      <w:pPr>
        <w:spacing w:line="260" w:lineRule="exact"/>
      </w:pPr>
    </w:p>
    <w:p w14:paraId="2C1B8C95" w14:textId="77777777" w:rsidR="00DC6F16" w:rsidRPr="00D64E6A" w:rsidRDefault="00DC6F16" w:rsidP="00DF23FA">
      <w:pPr>
        <w:spacing w:line="260" w:lineRule="exact"/>
      </w:pPr>
      <w:r w:rsidRPr="00D64E6A">
        <w:t>Adicionalmente, el Comité de Radio y Televisión fue notificado de que el Organismo Público Local Electoral de</w:t>
      </w:r>
      <w:r w:rsidR="00A901D1" w:rsidRPr="00D64E6A">
        <w:t>l</w:t>
      </w:r>
      <w:r w:rsidRPr="00D64E6A">
        <w:t xml:space="preserve"> estado de Nuevo León declaró la pérdida de registro de los partidos políticos estatales Demócrata, y Cruzada Ciudadana.</w:t>
      </w:r>
    </w:p>
    <w:p w14:paraId="2C1B8C96" w14:textId="77777777" w:rsidR="00DC6F16" w:rsidRPr="00D64E6A" w:rsidRDefault="00DC6F16" w:rsidP="00DF23FA">
      <w:pPr>
        <w:spacing w:line="260" w:lineRule="exact"/>
      </w:pPr>
    </w:p>
    <w:p w14:paraId="2C1B8C97" w14:textId="77777777" w:rsidR="00DC6F16" w:rsidRPr="00D64E6A" w:rsidRDefault="00DC6F16" w:rsidP="00DF23FA">
      <w:pPr>
        <w:spacing w:line="260" w:lineRule="exact"/>
      </w:pPr>
      <w:r w:rsidRPr="00D64E6A">
        <w:t>Consecuentemente, las pautas aprobadas mediante el diverso INE/ACRT/32/2015 fueron objeto de una nueva modificación, lo cual ocurrió en la Tercera Sesión Extraordinaria del Comité, celebrada el 17 de noviembre de 2015. El instrumento mediante el cual se sustentó dicho cambio recibió la clave INE/ACRT/37/2015.</w:t>
      </w:r>
    </w:p>
    <w:p w14:paraId="2C1B8C98" w14:textId="77777777" w:rsidR="00DC6F16" w:rsidRPr="00D64E6A" w:rsidRDefault="00DC6F16" w:rsidP="00DF23FA">
      <w:pPr>
        <w:spacing w:line="260" w:lineRule="exact"/>
      </w:pPr>
    </w:p>
    <w:p w14:paraId="2C1B8C99" w14:textId="77777777" w:rsidR="00E00AFA" w:rsidRPr="00D64E6A" w:rsidRDefault="00E00AFA" w:rsidP="00DF23FA">
      <w:pPr>
        <w:spacing w:line="260" w:lineRule="exact"/>
      </w:pPr>
      <w:r w:rsidRPr="00D64E6A">
        <w:t>Ahora bien, la resolución INE/CG936/2015 fue revocada por sentencia de la Sala Superior del Tribunal Electoral del Poder Judicial de la Federación recaída al expediente SUP-RAP-756/2015, por lo cual el Acuerdo INE/ACRT/37/2015 fue modificado para incluir en el pautado correspondiente al Partido del Trabajo. A esta última determinación, aprobada en la Novena Sesión Especial del Comité, celebrada el 8 de diciembre de 2015, le recayó la clave INE/ACRT/47/2015.</w:t>
      </w:r>
    </w:p>
    <w:p w14:paraId="2C1B8C9A" w14:textId="77777777" w:rsidR="00E00AFA" w:rsidRPr="00D64E6A" w:rsidRDefault="00E00AFA" w:rsidP="00DF23FA">
      <w:pPr>
        <w:spacing w:line="260" w:lineRule="exact"/>
      </w:pPr>
    </w:p>
    <w:p w14:paraId="2C1B8C9B" w14:textId="77777777" w:rsidR="00DC6F16" w:rsidRPr="00D64E6A" w:rsidRDefault="00906AD5" w:rsidP="00DF23FA">
      <w:pPr>
        <w:spacing w:line="260" w:lineRule="exact"/>
      </w:pPr>
      <w:r w:rsidRPr="00D64E6A">
        <w:t>E</w:t>
      </w:r>
      <w:r w:rsidR="00DC6F16" w:rsidRPr="00D64E6A">
        <w:t>n preparación del pautado para el periodo ordinario durante el primer semestre de 2016, el Comité realizó el sorteo atinente en su Décima Sesión Ordinaria, celebrada el 22 de octubre de 2015, cuyos resultados</w:t>
      </w:r>
      <w:r w:rsidR="00DC6F16" w:rsidRPr="00D64E6A">
        <w:rPr>
          <w:rStyle w:val="Refdenotaalpie"/>
        </w:rPr>
        <w:footnoteReference w:id="1"/>
      </w:r>
      <w:r w:rsidR="00DC6F16" w:rsidRPr="00D64E6A">
        <w:t xml:space="preserve"> fueron la base para determinar el orden sucesivo de aparición de en dichas pautas, las cuales fueron aprobadas en la </w:t>
      </w:r>
      <w:r w:rsidR="00365A43" w:rsidRPr="00D64E6A">
        <w:t>Décima Primera</w:t>
      </w:r>
      <w:r w:rsidR="00DC6F16" w:rsidRPr="00D64E6A">
        <w:t xml:space="preserve"> Sesión </w:t>
      </w:r>
      <w:r w:rsidR="00365A43" w:rsidRPr="00D64E6A">
        <w:t>Ordinaria</w:t>
      </w:r>
      <w:r w:rsidR="00DC6F16" w:rsidRPr="00D64E6A">
        <w:t xml:space="preserve">, verificada el </w:t>
      </w:r>
      <w:r w:rsidR="00365A43" w:rsidRPr="00D64E6A">
        <w:t>30 de noviembre de 2015</w:t>
      </w:r>
      <w:r w:rsidR="00DC6F16" w:rsidRPr="00D64E6A">
        <w:t>, mediante Acuerdo identificado con la clave INE/ACRT/</w:t>
      </w:r>
      <w:r w:rsidR="00365A43" w:rsidRPr="00D64E6A">
        <w:t>45</w:t>
      </w:r>
      <w:r w:rsidR="00DC6F16" w:rsidRPr="00D64E6A">
        <w:t>/2015.</w:t>
      </w:r>
    </w:p>
    <w:p w14:paraId="2C1B8C9C" w14:textId="77777777" w:rsidR="00DC6F16" w:rsidRPr="00D64E6A" w:rsidRDefault="00DC6F16" w:rsidP="00DF23FA">
      <w:pPr>
        <w:spacing w:line="260" w:lineRule="exact"/>
      </w:pPr>
    </w:p>
    <w:p w14:paraId="2C1B8C9D" w14:textId="77777777" w:rsidR="00355C3E" w:rsidRPr="00D64E6A" w:rsidRDefault="00355C3E" w:rsidP="00DF23FA">
      <w:pPr>
        <w:spacing w:line="260" w:lineRule="exact"/>
      </w:pPr>
      <w:r w:rsidRPr="00D64E6A">
        <w:t>Este Acuerdo fue modificado mediante el diverso INE/ACRT/51/2015, aprobado en la Décima Segunda Sesión Ordinaria, celebrada el 17 de diciembre de 2015.</w:t>
      </w:r>
    </w:p>
    <w:p w14:paraId="2C1B8C9E" w14:textId="77777777" w:rsidR="00355C3E" w:rsidRPr="00D64E6A" w:rsidRDefault="00355C3E" w:rsidP="00DF23FA">
      <w:pPr>
        <w:spacing w:line="260" w:lineRule="exact"/>
      </w:pPr>
    </w:p>
    <w:p w14:paraId="2C1B8C9F" w14:textId="77777777" w:rsidR="00674395" w:rsidRPr="00D64E6A" w:rsidRDefault="00DC6F16" w:rsidP="00DF23FA">
      <w:pPr>
        <w:spacing w:line="260" w:lineRule="exact"/>
      </w:pPr>
      <w:r w:rsidRPr="00D64E6A">
        <w:t>Respecto del ámbito espacial de aplicación de las pautas, e</w:t>
      </w:r>
      <w:r w:rsidR="00355C3E" w:rsidRPr="00D64E6A">
        <w:t>l</w:t>
      </w:r>
      <w:r w:rsidRPr="00D64E6A">
        <w:t xml:space="preserve"> Acuerdo </w:t>
      </w:r>
      <w:r w:rsidR="00355C3E" w:rsidRPr="00D64E6A">
        <w:t xml:space="preserve">INE/ACRT/51/2015 </w:t>
      </w:r>
      <w:r w:rsidRPr="00D64E6A">
        <w:t xml:space="preserve">aprobó </w:t>
      </w:r>
      <w:r w:rsidR="00355C3E" w:rsidRPr="00D64E6A">
        <w:t>seis</w:t>
      </w:r>
      <w:r w:rsidRPr="00D64E6A">
        <w:t xml:space="preserve"> modelos de distribución del tiempo en radio y televisión, esto es, a) </w:t>
      </w:r>
      <w:r w:rsidR="00674395" w:rsidRPr="00D64E6A">
        <w:t xml:space="preserve">entidades federativas en las que no existen partidos políticos con registro estatal; b) entidades federativas en las que existe </w:t>
      </w:r>
      <w:r w:rsidR="00FB40EE" w:rsidRPr="00D64E6A">
        <w:t xml:space="preserve">un partido político con registro estatal; c) entidades federativas en las que existen dos partidos políticos con registro estatal; d) entidades federativas en las que existen tres partidos políticos con registro estatal; e) entidades federativas en las que existen </w:t>
      </w:r>
      <w:r w:rsidR="00355C3E" w:rsidRPr="00D64E6A">
        <w:t>cuatro</w:t>
      </w:r>
      <w:r w:rsidR="00FB40EE" w:rsidRPr="00D64E6A">
        <w:t xml:space="preserve"> partidos políticos con registro estatal</w:t>
      </w:r>
      <w:r w:rsidR="00355C3E" w:rsidRPr="00D64E6A">
        <w:t>, y f) entidades federativas en las que existen seis partidos políticos con registro estatal</w:t>
      </w:r>
      <w:r w:rsidR="00FB40EE" w:rsidRPr="00D64E6A">
        <w:t>.</w:t>
      </w:r>
    </w:p>
    <w:p w14:paraId="2C1B8CA0" w14:textId="77777777" w:rsidR="00DC6F16" w:rsidRPr="00D64E6A" w:rsidRDefault="00DC6F16" w:rsidP="00DF23FA">
      <w:pPr>
        <w:spacing w:line="260" w:lineRule="exact"/>
      </w:pPr>
    </w:p>
    <w:p w14:paraId="2C1B8CA1" w14:textId="77777777" w:rsidR="00DC6F16" w:rsidRPr="00D64E6A" w:rsidRDefault="00DC6F16" w:rsidP="00DF23FA">
      <w:pPr>
        <w:spacing w:line="260" w:lineRule="exact"/>
      </w:pPr>
      <w:r w:rsidRPr="00D64E6A">
        <w:t>Conforme al acuerdo en comento, diversos partidos políticos con registro local accederán durante el periodo ordinario del primer semestre del año 2016 a los tiempos en radio y televisión en las emisoras de radio y televisión de sus respectivas entidades</w:t>
      </w:r>
      <w:r w:rsidRPr="00D64E6A">
        <w:rPr>
          <w:rStyle w:val="Refdenotaalpie"/>
        </w:rPr>
        <w:footnoteReference w:id="2"/>
      </w:r>
      <w:r w:rsidRPr="00D64E6A">
        <w:t>.</w:t>
      </w:r>
    </w:p>
    <w:p w14:paraId="2C1B8CA2" w14:textId="77777777" w:rsidR="009D2193" w:rsidRPr="00D64E6A" w:rsidRDefault="009D2193" w:rsidP="00DC6F16"/>
    <w:p w14:paraId="2C1B8CA3" w14:textId="77777777" w:rsidR="00AE479D" w:rsidRPr="00D64E6A" w:rsidRDefault="00AE479D" w:rsidP="00DC6F16">
      <w:r w:rsidRPr="00D64E6A">
        <w:t>Los acuerdos aprobatorios de las pautas para el periodo ordinario de 2016 sufrieron las siguientes modificaciones:</w:t>
      </w:r>
    </w:p>
    <w:p w14:paraId="2C1B8CA4" w14:textId="77777777" w:rsidR="00906AD5" w:rsidRPr="00D64E6A" w:rsidRDefault="00906AD5" w:rsidP="00DC6F16"/>
    <w:p w14:paraId="2C1B8CA5" w14:textId="77777777" w:rsidR="00906AD5" w:rsidRPr="00D64E6A" w:rsidRDefault="00906AD5" w:rsidP="00B12AB5">
      <w:pPr>
        <w:pStyle w:val="Prrafodelista"/>
        <w:numPr>
          <w:ilvl w:val="0"/>
          <w:numId w:val="7"/>
        </w:numPr>
        <w:rPr>
          <w:rFonts w:ascii="Arial" w:hAnsi="Arial" w:cs="Arial"/>
          <w:sz w:val="24"/>
          <w:szCs w:val="24"/>
        </w:rPr>
      </w:pPr>
      <w:r w:rsidRPr="00D64E6A">
        <w:rPr>
          <w:rFonts w:ascii="Arial" w:hAnsi="Arial" w:cs="Arial"/>
          <w:sz w:val="24"/>
          <w:szCs w:val="24"/>
        </w:rPr>
        <w:t xml:space="preserve">El Acuerdo INE/ACRT/45/2015, </w:t>
      </w:r>
      <w:r w:rsidR="004B0B86" w:rsidRPr="00D64E6A">
        <w:rPr>
          <w:rFonts w:ascii="Arial" w:hAnsi="Arial" w:cs="Arial"/>
          <w:sz w:val="24"/>
          <w:szCs w:val="24"/>
        </w:rPr>
        <w:t xml:space="preserve">modificado por el INE/ACRT/11/2016, </w:t>
      </w:r>
      <w:r w:rsidRPr="00D64E6A">
        <w:rPr>
          <w:rFonts w:ascii="Arial" w:hAnsi="Arial" w:cs="Arial"/>
          <w:sz w:val="24"/>
          <w:szCs w:val="24"/>
        </w:rPr>
        <w:t xml:space="preserve">en razón del </w:t>
      </w:r>
      <w:r w:rsidR="004B0B86" w:rsidRPr="00D64E6A">
        <w:rPr>
          <w:rFonts w:ascii="Arial" w:hAnsi="Arial" w:cs="Arial"/>
          <w:sz w:val="24"/>
          <w:szCs w:val="24"/>
        </w:rPr>
        <w:t>cambio de denominación del Partido Social Demócrata de Coahuila ahora Social Demócrata Independiente Partido Político de Coahuila.</w:t>
      </w:r>
    </w:p>
    <w:p w14:paraId="2C1B8CA6" w14:textId="77777777" w:rsidR="004B0B86" w:rsidRPr="00D64E6A" w:rsidRDefault="004B0B86" w:rsidP="00DC6F16">
      <w:pPr>
        <w:rPr>
          <w:rFonts w:cs="Arial"/>
          <w:szCs w:val="24"/>
        </w:rPr>
      </w:pPr>
    </w:p>
    <w:p w14:paraId="2C1B8CA7" w14:textId="77777777" w:rsidR="00C432D6" w:rsidRPr="00D64E6A" w:rsidRDefault="004B0B86" w:rsidP="00E018BC">
      <w:pPr>
        <w:pStyle w:val="Prrafodelista"/>
        <w:numPr>
          <w:ilvl w:val="0"/>
          <w:numId w:val="7"/>
        </w:numPr>
        <w:rPr>
          <w:rFonts w:ascii="Arial" w:hAnsi="Arial" w:cs="Arial"/>
          <w:sz w:val="24"/>
          <w:szCs w:val="24"/>
        </w:rPr>
      </w:pPr>
      <w:r w:rsidRPr="00D64E6A">
        <w:rPr>
          <w:rFonts w:ascii="Arial" w:hAnsi="Arial" w:cs="Arial"/>
          <w:sz w:val="24"/>
          <w:szCs w:val="24"/>
        </w:rPr>
        <w:t xml:space="preserve">El Acuerdo INE/ACRT/51/2015 </w:t>
      </w:r>
      <w:r w:rsidR="00914695" w:rsidRPr="00D64E6A">
        <w:rPr>
          <w:rFonts w:ascii="Arial" w:hAnsi="Arial" w:cs="Arial"/>
          <w:sz w:val="24"/>
          <w:szCs w:val="24"/>
        </w:rPr>
        <w:t xml:space="preserve">fue </w:t>
      </w:r>
      <w:r w:rsidRPr="00D64E6A">
        <w:rPr>
          <w:rFonts w:ascii="Arial" w:hAnsi="Arial" w:cs="Arial"/>
          <w:sz w:val="24"/>
          <w:szCs w:val="24"/>
        </w:rPr>
        <w:t xml:space="preserve">modificado por el </w:t>
      </w:r>
      <w:r w:rsidR="0024764B" w:rsidRPr="00D64E6A">
        <w:rPr>
          <w:rFonts w:ascii="Arial" w:hAnsi="Arial" w:cs="Arial"/>
          <w:sz w:val="24"/>
          <w:szCs w:val="24"/>
        </w:rPr>
        <w:t>INE/CG54/2016</w:t>
      </w:r>
      <w:r w:rsidR="00914695" w:rsidRPr="00D64E6A">
        <w:rPr>
          <w:rFonts w:ascii="Arial" w:hAnsi="Arial" w:cs="Arial"/>
          <w:sz w:val="24"/>
          <w:szCs w:val="24"/>
        </w:rPr>
        <w:t xml:space="preserve">, para que en el periodo que del 12 de febrero al 17 de abril de 2016, </w:t>
      </w:r>
      <w:r w:rsidR="00C432D6" w:rsidRPr="00D64E6A">
        <w:rPr>
          <w:rFonts w:ascii="Arial" w:hAnsi="Arial" w:cs="Arial"/>
          <w:sz w:val="24"/>
          <w:szCs w:val="24"/>
        </w:rPr>
        <w:t xml:space="preserve">se </w:t>
      </w:r>
      <w:r w:rsidR="00914695" w:rsidRPr="00D64E6A">
        <w:rPr>
          <w:rFonts w:ascii="Arial" w:hAnsi="Arial" w:cs="Arial"/>
          <w:sz w:val="24"/>
          <w:szCs w:val="24"/>
        </w:rPr>
        <w:t>elabor</w:t>
      </w:r>
      <w:r w:rsidR="00C432D6" w:rsidRPr="00D64E6A">
        <w:rPr>
          <w:rFonts w:ascii="Arial" w:hAnsi="Arial" w:cs="Arial"/>
          <w:sz w:val="24"/>
          <w:szCs w:val="24"/>
        </w:rPr>
        <w:t>ara</w:t>
      </w:r>
      <w:r w:rsidR="00914695" w:rsidRPr="00D64E6A">
        <w:rPr>
          <w:rFonts w:ascii="Arial" w:hAnsi="Arial" w:cs="Arial"/>
          <w:sz w:val="24"/>
          <w:szCs w:val="24"/>
        </w:rPr>
        <w:t xml:space="preserve"> una</w:t>
      </w:r>
      <w:r w:rsidR="00C432D6" w:rsidRPr="00D64E6A">
        <w:rPr>
          <w:rFonts w:ascii="Arial" w:hAnsi="Arial" w:cs="Arial"/>
          <w:sz w:val="24"/>
          <w:szCs w:val="24"/>
        </w:rPr>
        <w:t xml:space="preserve"> </w:t>
      </w:r>
      <w:r w:rsidR="00914695" w:rsidRPr="00D64E6A">
        <w:rPr>
          <w:rFonts w:ascii="Arial" w:hAnsi="Arial" w:cs="Arial"/>
          <w:sz w:val="24"/>
          <w:szCs w:val="24"/>
        </w:rPr>
        <w:t>pauta conjunta que incluy</w:t>
      </w:r>
      <w:r w:rsidR="00C432D6" w:rsidRPr="00D64E6A">
        <w:rPr>
          <w:rFonts w:ascii="Arial" w:hAnsi="Arial" w:cs="Arial"/>
          <w:sz w:val="24"/>
          <w:szCs w:val="24"/>
        </w:rPr>
        <w:t>er</w:t>
      </w:r>
      <w:r w:rsidR="00914695" w:rsidRPr="00D64E6A">
        <w:rPr>
          <w:rFonts w:ascii="Arial" w:hAnsi="Arial" w:cs="Arial"/>
          <w:sz w:val="24"/>
          <w:szCs w:val="24"/>
        </w:rPr>
        <w:t xml:space="preserve">a la pauta aprobada mediante </w:t>
      </w:r>
      <w:r w:rsidR="00C432D6" w:rsidRPr="00D64E6A">
        <w:rPr>
          <w:rFonts w:ascii="Arial" w:hAnsi="Arial" w:cs="Arial"/>
          <w:sz w:val="24"/>
          <w:szCs w:val="24"/>
        </w:rPr>
        <w:t>el primero de dichos acuerdos y la</w:t>
      </w:r>
      <w:r w:rsidR="00914695" w:rsidRPr="00D64E6A">
        <w:rPr>
          <w:rFonts w:ascii="Arial" w:hAnsi="Arial" w:cs="Arial"/>
          <w:sz w:val="24"/>
          <w:szCs w:val="24"/>
        </w:rPr>
        <w:t xml:space="preserve"> que de conformidad con </w:t>
      </w:r>
      <w:r w:rsidR="00C432D6" w:rsidRPr="00D64E6A">
        <w:rPr>
          <w:rFonts w:ascii="Arial" w:hAnsi="Arial" w:cs="Arial"/>
          <w:sz w:val="24"/>
          <w:szCs w:val="24"/>
        </w:rPr>
        <w:t>el Acuerdo del Consejo General,</w:t>
      </w:r>
      <w:r w:rsidR="00914695" w:rsidRPr="00D64E6A">
        <w:rPr>
          <w:rFonts w:ascii="Arial" w:hAnsi="Arial" w:cs="Arial"/>
          <w:sz w:val="24"/>
          <w:szCs w:val="24"/>
        </w:rPr>
        <w:t xml:space="preserve"> adicion</w:t>
      </w:r>
      <w:r w:rsidR="00C432D6" w:rsidRPr="00D64E6A">
        <w:rPr>
          <w:rFonts w:ascii="Arial" w:hAnsi="Arial" w:cs="Arial"/>
          <w:sz w:val="24"/>
          <w:szCs w:val="24"/>
        </w:rPr>
        <w:t>ara</w:t>
      </w:r>
      <w:r w:rsidR="00914695" w:rsidRPr="00D64E6A">
        <w:rPr>
          <w:rFonts w:ascii="Arial" w:hAnsi="Arial" w:cs="Arial"/>
          <w:sz w:val="24"/>
          <w:szCs w:val="24"/>
        </w:rPr>
        <w:t xml:space="preserve"> doce minutos para las</w:t>
      </w:r>
      <w:r w:rsidR="00C432D6" w:rsidRPr="00D64E6A">
        <w:rPr>
          <w:rFonts w:ascii="Arial" w:hAnsi="Arial" w:cs="Arial"/>
          <w:sz w:val="24"/>
          <w:szCs w:val="24"/>
        </w:rPr>
        <w:t xml:space="preserve"> </w:t>
      </w:r>
      <w:r w:rsidR="00914695" w:rsidRPr="00D64E6A">
        <w:rPr>
          <w:rFonts w:ascii="Arial" w:hAnsi="Arial" w:cs="Arial"/>
          <w:sz w:val="24"/>
          <w:szCs w:val="24"/>
        </w:rPr>
        <w:t>autoridades electorales federales.</w:t>
      </w:r>
      <w:r w:rsidR="0024764B" w:rsidRPr="00D64E6A">
        <w:rPr>
          <w:rFonts w:ascii="Arial" w:hAnsi="Arial" w:cs="Arial"/>
          <w:sz w:val="24"/>
          <w:szCs w:val="24"/>
        </w:rPr>
        <w:t xml:space="preserve"> </w:t>
      </w:r>
    </w:p>
    <w:p w14:paraId="2C1B8CA8" w14:textId="77777777" w:rsidR="00C432D6" w:rsidRPr="00D64E6A" w:rsidRDefault="00C432D6" w:rsidP="00C432D6">
      <w:pPr>
        <w:pStyle w:val="Prrafodelista"/>
        <w:rPr>
          <w:rFonts w:ascii="Arial" w:hAnsi="Arial" w:cs="Arial"/>
          <w:sz w:val="24"/>
          <w:szCs w:val="24"/>
        </w:rPr>
      </w:pPr>
    </w:p>
    <w:p w14:paraId="2C1B8CA9" w14:textId="77777777" w:rsidR="00B12AB5" w:rsidRPr="00D64E6A" w:rsidRDefault="00C432D6" w:rsidP="00B12AB5">
      <w:pPr>
        <w:pStyle w:val="Prrafodelista"/>
        <w:rPr>
          <w:rFonts w:ascii="Arial" w:hAnsi="Arial" w:cs="Arial"/>
          <w:sz w:val="24"/>
          <w:szCs w:val="24"/>
        </w:rPr>
      </w:pPr>
      <w:r w:rsidRPr="00D64E6A">
        <w:rPr>
          <w:rFonts w:ascii="Arial" w:hAnsi="Arial" w:cs="Arial"/>
          <w:sz w:val="24"/>
          <w:szCs w:val="24"/>
        </w:rPr>
        <w:t xml:space="preserve">También fue modificado por el diverso </w:t>
      </w:r>
      <w:r w:rsidR="004B0B86" w:rsidRPr="00D64E6A">
        <w:rPr>
          <w:rFonts w:ascii="Arial" w:hAnsi="Arial" w:cs="Arial"/>
          <w:sz w:val="24"/>
          <w:szCs w:val="24"/>
        </w:rPr>
        <w:t>INE/ACRT/1</w:t>
      </w:r>
      <w:r w:rsidR="00B12AB5" w:rsidRPr="00D64E6A">
        <w:rPr>
          <w:rFonts w:ascii="Arial" w:hAnsi="Arial" w:cs="Arial"/>
          <w:sz w:val="24"/>
          <w:szCs w:val="24"/>
        </w:rPr>
        <w:t>9</w:t>
      </w:r>
      <w:r w:rsidR="004B0B86" w:rsidRPr="00D64E6A">
        <w:rPr>
          <w:rFonts w:ascii="Arial" w:hAnsi="Arial" w:cs="Arial"/>
          <w:sz w:val="24"/>
          <w:szCs w:val="24"/>
        </w:rPr>
        <w:t xml:space="preserve">/2016, </w:t>
      </w:r>
      <w:r w:rsidR="00B12AB5" w:rsidRPr="00D64E6A">
        <w:rPr>
          <w:rFonts w:ascii="Arial" w:hAnsi="Arial" w:cs="Arial"/>
          <w:sz w:val="24"/>
          <w:szCs w:val="24"/>
        </w:rPr>
        <w:t>para incluir a los partidos políticos locales denominados Humanista de Baja California y Humanista del Distrito Federal (sic) y con motivo de la pérdida de registro del partido Futuro Democrático en el estado de México en el pautado.</w:t>
      </w:r>
      <w:r w:rsidRPr="00D64E6A">
        <w:rPr>
          <w:rFonts w:ascii="Arial" w:hAnsi="Arial" w:cs="Arial"/>
          <w:sz w:val="24"/>
          <w:szCs w:val="24"/>
        </w:rPr>
        <w:t xml:space="preserve"> </w:t>
      </w:r>
      <w:r w:rsidR="00B12AB5" w:rsidRPr="00D64E6A">
        <w:rPr>
          <w:rFonts w:ascii="Arial" w:hAnsi="Arial" w:cs="Arial"/>
          <w:sz w:val="24"/>
          <w:szCs w:val="24"/>
        </w:rPr>
        <w:t xml:space="preserve">El Acuerdo INE/ACRT/19/2016 fue modificado, a su vez, </w:t>
      </w:r>
      <w:r w:rsidR="00A175F3" w:rsidRPr="00D64E6A">
        <w:rPr>
          <w:rFonts w:ascii="Arial" w:hAnsi="Arial" w:cs="Arial"/>
          <w:sz w:val="24"/>
          <w:szCs w:val="24"/>
        </w:rPr>
        <w:t xml:space="preserve">por el INE/ACRT/21/2016, </w:t>
      </w:r>
      <w:r w:rsidR="00B12AB5" w:rsidRPr="00D64E6A">
        <w:rPr>
          <w:rFonts w:ascii="Arial" w:hAnsi="Arial" w:cs="Arial"/>
          <w:sz w:val="24"/>
          <w:szCs w:val="24"/>
        </w:rPr>
        <w:t>para incluir a los partidos políticos locales Humanista de Baja California Sur y Humanista de Morelos</w:t>
      </w:r>
      <w:r w:rsidR="00A175F3" w:rsidRPr="00D64E6A">
        <w:rPr>
          <w:rFonts w:ascii="Arial" w:hAnsi="Arial" w:cs="Arial"/>
          <w:sz w:val="24"/>
          <w:szCs w:val="24"/>
        </w:rPr>
        <w:t xml:space="preserve"> en los pautados.</w:t>
      </w:r>
    </w:p>
    <w:p w14:paraId="2C1B8CAA" w14:textId="77777777" w:rsidR="00AE479D" w:rsidRPr="00D64E6A" w:rsidRDefault="00AE479D" w:rsidP="00DC6F16"/>
    <w:p w14:paraId="2C1B8CAB" w14:textId="77777777" w:rsidR="009D2193" w:rsidRPr="00D64E6A" w:rsidRDefault="009D2193" w:rsidP="00DC6F16">
      <w:r w:rsidRPr="00D64E6A">
        <w:t xml:space="preserve">Por otra parte, y en relación con las pautas para el segundo semestre de 2016, </w:t>
      </w:r>
      <w:r w:rsidR="00A175F3" w:rsidRPr="00D64E6A">
        <w:t xml:space="preserve">el Comité </w:t>
      </w:r>
      <w:r w:rsidR="008576DE" w:rsidRPr="00D64E6A">
        <w:t xml:space="preserve">aprobó </w:t>
      </w:r>
      <w:r w:rsidR="0024764B" w:rsidRPr="00D64E6A">
        <w:t>en su</w:t>
      </w:r>
      <w:r w:rsidR="00A175F3" w:rsidRPr="00D64E6A">
        <w:t xml:space="preserve"> Quinta Sesión Ordinaria de 2016, celebrada el 26 de mayo, </w:t>
      </w:r>
      <w:r w:rsidR="00B12AB5" w:rsidRPr="00D64E6A">
        <w:t xml:space="preserve">el Acuerdo </w:t>
      </w:r>
      <w:r w:rsidR="00A175F3" w:rsidRPr="00D64E6A">
        <w:t>INE/ACRT/20/2016.</w:t>
      </w:r>
    </w:p>
    <w:p w14:paraId="2C1B8CAC" w14:textId="77777777" w:rsidR="00906AD5" w:rsidRPr="00D64E6A" w:rsidRDefault="00906AD5" w:rsidP="00DC6F16"/>
    <w:p w14:paraId="2C1B8CAD" w14:textId="77777777" w:rsidR="00906AD5" w:rsidRPr="00D64E6A" w:rsidRDefault="00A175F3" w:rsidP="00906AD5">
      <w:r w:rsidRPr="00D64E6A">
        <w:t>E</w:t>
      </w:r>
      <w:r w:rsidR="00906AD5" w:rsidRPr="00D64E6A">
        <w:t>l Comité realizó el sorteo</w:t>
      </w:r>
      <w:r w:rsidRPr="00D64E6A">
        <w:t xml:space="preserve"> reglamentario</w:t>
      </w:r>
      <w:r w:rsidR="00906AD5" w:rsidRPr="00D64E6A">
        <w:t xml:space="preserve"> en </w:t>
      </w:r>
      <w:r w:rsidRPr="00D64E6A">
        <w:t>la Cuarta</w:t>
      </w:r>
      <w:r w:rsidR="00906AD5" w:rsidRPr="00D64E6A">
        <w:t xml:space="preserve"> Sesión Ordinaria</w:t>
      </w:r>
      <w:r w:rsidRPr="00D64E6A">
        <w:t xml:space="preserve"> de 2016</w:t>
      </w:r>
      <w:r w:rsidR="00906AD5" w:rsidRPr="00D64E6A">
        <w:t>, celebrada el 2</w:t>
      </w:r>
      <w:r w:rsidRPr="00D64E6A">
        <w:t>5 de abril</w:t>
      </w:r>
      <w:r w:rsidR="00906AD5" w:rsidRPr="00D64E6A">
        <w:t>, cuyos resultados</w:t>
      </w:r>
      <w:r w:rsidR="00906AD5" w:rsidRPr="00D64E6A">
        <w:rPr>
          <w:rStyle w:val="Refdenotaalpie"/>
        </w:rPr>
        <w:footnoteReference w:id="3"/>
      </w:r>
      <w:r w:rsidR="00906AD5" w:rsidRPr="00D64E6A">
        <w:t xml:space="preserve"> fueron</w:t>
      </w:r>
      <w:r w:rsidRPr="00D64E6A">
        <w:t>, como se ha dicho,</w:t>
      </w:r>
      <w:r w:rsidR="00906AD5" w:rsidRPr="00D64E6A">
        <w:t xml:space="preserve"> la base para determinar el orden sucesivo d</w:t>
      </w:r>
      <w:r w:rsidRPr="00D64E6A">
        <w:t>e aparición de en dichas pautas</w:t>
      </w:r>
      <w:r w:rsidR="00906AD5" w:rsidRPr="00D64E6A">
        <w:t>.</w:t>
      </w:r>
    </w:p>
    <w:p w14:paraId="2C1B8CAE" w14:textId="77777777" w:rsidR="00906AD5" w:rsidRPr="00D64E6A" w:rsidRDefault="00906AD5" w:rsidP="00906AD5"/>
    <w:p w14:paraId="2C1B8CAF" w14:textId="77777777" w:rsidR="00906AD5" w:rsidRPr="00D64E6A" w:rsidRDefault="00906AD5" w:rsidP="00906AD5">
      <w:r w:rsidRPr="00D64E6A">
        <w:t>Este Acuerdo fue modificado mediante el diverso INE/ACRT/</w:t>
      </w:r>
      <w:r w:rsidR="00582412" w:rsidRPr="00D64E6A">
        <w:t>22</w:t>
      </w:r>
      <w:r w:rsidRPr="00D64E6A">
        <w:t>/201</w:t>
      </w:r>
      <w:r w:rsidR="00582412" w:rsidRPr="00D64E6A">
        <w:t>6</w:t>
      </w:r>
      <w:r w:rsidRPr="00D64E6A">
        <w:t xml:space="preserve">, aprobado en </w:t>
      </w:r>
      <w:r w:rsidR="00582412" w:rsidRPr="00D64E6A">
        <w:t>la Séptima Sesión Especial de 2016</w:t>
      </w:r>
      <w:r w:rsidRPr="00D64E6A">
        <w:t xml:space="preserve">, celebrada el </w:t>
      </w:r>
      <w:r w:rsidR="00582412" w:rsidRPr="00D64E6A">
        <w:t>3 de junio, con la finalidad de incluir a los partidos Humanista de Baja California Sur y Humanista de Morelos en los pautados</w:t>
      </w:r>
      <w:r w:rsidRPr="00D64E6A">
        <w:t>.</w:t>
      </w:r>
    </w:p>
    <w:p w14:paraId="2C1B8CB0" w14:textId="77777777" w:rsidR="00906AD5" w:rsidRPr="00D64E6A" w:rsidRDefault="00906AD5" w:rsidP="00906AD5"/>
    <w:p w14:paraId="2C1B8CB1" w14:textId="77777777" w:rsidR="00906AD5" w:rsidRPr="00D64E6A" w:rsidRDefault="00906AD5" w:rsidP="00906AD5">
      <w:r w:rsidRPr="00D64E6A">
        <w:t>Respecto del ámbito espacial de aplicación de las pautas, el Acuerdo INE/ACRT/</w:t>
      </w:r>
      <w:r w:rsidR="00582412" w:rsidRPr="00D64E6A">
        <w:t>20/2016</w:t>
      </w:r>
      <w:r w:rsidRPr="00D64E6A">
        <w:t xml:space="preserve"> aprobó seis modelos de distribución del tiempo en radio y televisión, esto es, a) entidades federativas en las que no existen partidos políticos con registro estatal; b) entidades federativas en las que existe un partido político con registro estatal; c) entidades federativas en las que existen dos partidos políticos con registro estatal; d) entidades federativas en las que existen tres partidos políticos con registro estatal; e) entidades federativas en las que existen </w:t>
      </w:r>
      <w:r w:rsidR="00830D62" w:rsidRPr="00D64E6A">
        <w:t>cinco</w:t>
      </w:r>
      <w:r w:rsidRPr="00D64E6A">
        <w:t xml:space="preserve"> partidos políticos con registro estatal, y f) entidades federativas en las que existen seis partidos políticos con registro estatal.</w:t>
      </w:r>
    </w:p>
    <w:p w14:paraId="2C1B8CB2" w14:textId="77777777" w:rsidR="00906AD5" w:rsidRPr="00D64E6A" w:rsidRDefault="00906AD5" w:rsidP="00906AD5"/>
    <w:p w14:paraId="2C1B8CB3" w14:textId="77777777" w:rsidR="00906AD5" w:rsidRPr="00D64E6A" w:rsidRDefault="00906AD5" w:rsidP="00906AD5">
      <w:r w:rsidRPr="00D64E6A">
        <w:t>Conforme al acuerdo en comento, diversos partidos políticos con registro local accederán durante el periodo ordinario del primer semestre del año 2016 a los tiempos en radio y televisión en las emisoras de radio y televisión de sus respectivas entidades</w:t>
      </w:r>
      <w:r w:rsidR="00582412" w:rsidRPr="00D64E6A">
        <w:rPr>
          <w:rStyle w:val="Refdenotaalpie"/>
        </w:rPr>
        <w:footnoteReference w:id="4"/>
      </w:r>
    </w:p>
    <w:p w14:paraId="2C1B8CB4" w14:textId="77777777" w:rsidR="00400716" w:rsidRPr="00D64E6A" w:rsidRDefault="00400716" w:rsidP="00DC6F16"/>
    <w:p w14:paraId="2C1B8CB5" w14:textId="77777777" w:rsidR="00400716" w:rsidRPr="00D64E6A" w:rsidRDefault="003360EA" w:rsidP="00783CDA">
      <w:pPr>
        <w:pStyle w:val="Ttulo2"/>
        <w:ind w:left="709" w:hanging="709"/>
      </w:pPr>
      <w:bookmarkStart w:id="12" w:name="_Toc460517108"/>
      <w:r w:rsidRPr="00D64E6A">
        <w:rPr>
          <w:lang w:val="es-MX"/>
        </w:rPr>
        <w:t>II.3.2.</w:t>
      </w:r>
      <w:r w:rsidR="00400716" w:rsidRPr="00D64E6A">
        <w:tab/>
        <w:t>Sorteo</w:t>
      </w:r>
      <w:r w:rsidR="00027F99" w:rsidRPr="00D64E6A">
        <w:rPr>
          <w:lang w:val="es-MX"/>
        </w:rPr>
        <w:t>s</w:t>
      </w:r>
      <w:r w:rsidR="00400716" w:rsidRPr="00D64E6A">
        <w:t xml:space="preserve"> semestral</w:t>
      </w:r>
      <w:r w:rsidR="00027F99" w:rsidRPr="00D64E6A">
        <w:rPr>
          <w:lang w:val="es-MX"/>
        </w:rPr>
        <w:t>es</w:t>
      </w:r>
      <w:r w:rsidR="00400716" w:rsidRPr="00D64E6A">
        <w:t xml:space="preserve"> para la asignación de los mensajes de los partidos políticos dentro de las pautas de periodo ordinario</w:t>
      </w:r>
      <w:bookmarkEnd w:id="12"/>
    </w:p>
    <w:p w14:paraId="2C1B8CB6" w14:textId="77777777" w:rsidR="00400716" w:rsidRPr="00D64E6A" w:rsidRDefault="00400716" w:rsidP="007C195E">
      <w:pPr>
        <w:ind w:left="567" w:hanging="567"/>
      </w:pPr>
    </w:p>
    <w:p w14:paraId="2C1B8CB7" w14:textId="77777777" w:rsidR="00400716" w:rsidRPr="00D64E6A" w:rsidRDefault="00400716" w:rsidP="00400716">
      <w:r w:rsidRPr="00D64E6A">
        <w:t>El sorteo para determinar el orden sucesivo en que se presentaron los mensajes de cada partido político en las pautas de periodo ordinario durante el p</w:t>
      </w:r>
      <w:r w:rsidR="000C0532" w:rsidRPr="00D64E6A">
        <w:t xml:space="preserve">rimer semestre de </w:t>
      </w:r>
      <w:r w:rsidRPr="00D64E6A">
        <w:t xml:space="preserve">2016, </w:t>
      </w:r>
      <w:r w:rsidR="005C1CF8" w:rsidRPr="00D64E6A">
        <w:t>se realizó en la</w:t>
      </w:r>
      <w:r w:rsidRPr="00D64E6A">
        <w:t xml:space="preserve"> Décima Sesión Ordinaria, celebrada el 22 de octubre de 2015. Los resultados </w:t>
      </w:r>
      <w:r w:rsidR="00D1494F" w:rsidRPr="00D64E6A">
        <w:t>se muestran a continuación:</w:t>
      </w:r>
    </w:p>
    <w:p w14:paraId="2C1B8CB8" w14:textId="77777777" w:rsidR="00AE682E" w:rsidRPr="00D64E6A" w:rsidRDefault="00AE682E" w:rsidP="00416483">
      <w:pPr>
        <w:jc w:val="center"/>
        <w:rPr>
          <w:rFonts w:cs="Arial"/>
          <w:color w:val="AD1F53"/>
          <w:szCs w:val="24"/>
          <w:lang w:eastAsia="es-MX"/>
        </w:rPr>
      </w:pPr>
    </w:p>
    <w:p w14:paraId="2C1B8CB9" w14:textId="77777777" w:rsidR="00416483" w:rsidRPr="00D64E6A" w:rsidRDefault="00416483" w:rsidP="00416483">
      <w:pPr>
        <w:jc w:val="center"/>
      </w:pPr>
      <w:r w:rsidRPr="00D64E6A">
        <w:rPr>
          <w:rFonts w:cs="Arial"/>
          <w:color w:val="AD1F53"/>
          <w:szCs w:val="24"/>
          <w:lang w:eastAsia="es-MX"/>
        </w:rPr>
        <w:t>Periodo ordinario del primer semestre de 2016</w:t>
      </w:r>
      <w:r w:rsidR="00B34478" w:rsidRPr="00D64E6A">
        <w:rPr>
          <w:rStyle w:val="Refdenotaalpie"/>
          <w:rFonts w:cs="Arial"/>
          <w:color w:val="AD1F53"/>
          <w:szCs w:val="24"/>
          <w:lang w:eastAsia="es-MX"/>
        </w:rPr>
        <w:footnoteReference w:id="5"/>
      </w:r>
    </w:p>
    <w:p w14:paraId="2C1B8CBA" w14:textId="77777777" w:rsidR="00416483" w:rsidRPr="00D64E6A" w:rsidRDefault="00416483" w:rsidP="00400716"/>
    <w:p w14:paraId="2C1B8CBB" w14:textId="77777777" w:rsidR="00D1494F" w:rsidRPr="00D64E6A" w:rsidRDefault="00525CC0" w:rsidP="00400716">
      <w:r w:rsidRPr="00D64E6A">
        <w:rPr>
          <w:noProof/>
          <w:lang w:eastAsia="es-MX"/>
        </w:rPr>
        <w:drawing>
          <wp:inline distT="0" distB="0" distL="0" distR="0" wp14:anchorId="2C1B8DB3" wp14:editId="2C1B8DB4">
            <wp:extent cx="5171884" cy="3992880"/>
            <wp:effectExtent l="0" t="0" r="0" b="762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17829" t="11025" r="18550" b="4203"/>
                    <a:stretch/>
                  </pic:blipFill>
                  <pic:spPr bwMode="auto">
                    <a:xfrm>
                      <a:off x="0" y="0"/>
                      <a:ext cx="5176938" cy="3996782"/>
                    </a:xfrm>
                    <a:prstGeom prst="rect">
                      <a:avLst/>
                    </a:prstGeom>
                    <a:ln>
                      <a:noFill/>
                    </a:ln>
                    <a:extLst>
                      <a:ext uri="{53640926-AAD7-44D8-BBD7-CCE9431645EC}">
                        <a14:shadowObscured xmlns:a14="http://schemas.microsoft.com/office/drawing/2010/main"/>
                      </a:ext>
                    </a:extLst>
                  </pic:spPr>
                </pic:pic>
              </a:graphicData>
            </a:graphic>
          </wp:inline>
        </w:drawing>
      </w:r>
    </w:p>
    <w:p w14:paraId="2C1B8CBC" w14:textId="77777777" w:rsidR="00D1494F" w:rsidRPr="00D64E6A" w:rsidRDefault="00D1494F" w:rsidP="00400716"/>
    <w:p w14:paraId="2C1B8CBD" w14:textId="77777777" w:rsidR="00400EE7" w:rsidRPr="00D64E6A" w:rsidRDefault="007F59BD" w:rsidP="00400716">
      <w:r w:rsidRPr="00D64E6A">
        <w:t>Por su parte, el sorteo para el segundo semestre de 2016</w:t>
      </w:r>
      <w:r w:rsidR="0057132D" w:rsidRPr="00D64E6A">
        <w:t>, fue celebrado en la Cuarta Sesión Ordinaria, celebrada el 25 de abril del año en curso</w:t>
      </w:r>
      <w:r w:rsidR="00184E21" w:rsidRPr="00D64E6A">
        <w:t>, y sus resultados fueron los siguientes:</w:t>
      </w:r>
    </w:p>
    <w:p w14:paraId="2C1B8CBE" w14:textId="77777777" w:rsidR="00184E21" w:rsidRPr="00D64E6A" w:rsidRDefault="00184E21" w:rsidP="00400716"/>
    <w:p w14:paraId="2C1B8CBF" w14:textId="77777777" w:rsidR="00027F99" w:rsidRPr="00D64E6A" w:rsidRDefault="00027F99" w:rsidP="00027F99">
      <w:pPr>
        <w:jc w:val="center"/>
      </w:pPr>
      <w:r w:rsidRPr="00D64E6A">
        <w:rPr>
          <w:rFonts w:cs="Arial"/>
          <w:color w:val="AD1F53"/>
          <w:szCs w:val="24"/>
          <w:lang w:eastAsia="es-MX"/>
        </w:rPr>
        <w:t>Periodo ordinario del segundo semestre de 2016</w:t>
      </w:r>
    </w:p>
    <w:p w14:paraId="2C1B8CC0" w14:textId="77777777" w:rsidR="00184E21" w:rsidRPr="00D64E6A" w:rsidRDefault="00DC395A" w:rsidP="00027F99">
      <w:pPr>
        <w:jc w:val="center"/>
      </w:pPr>
      <w:r w:rsidRPr="00D64E6A">
        <w:rPr>
          <w:rFonts w:ascii="Calibri" w:hAnsi="Calibri"/>
          <w:noProof/>
          <w:sz w:val="22"/>
          <w:lang w:eastAsia="es-MX"/>
        </w:rPr>
        <w:drawing>
          <wp:inline distT="0" distB="0" distL="0" distR="0" wp14:anchorId="2C1B8DB5" wp14:editId="2C1B8DB6">
            <wp:extent cx="5111612" cy="3566160"/>
            <wp:effectExtent l="0" t="0" r="0" b="0"/>
            <wp:docPr id="13" name="Imagen 13" descr="cid:image002.png@01D1A496.2E4EF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id:image002.png@01D1A496.2E4EF070"/>
                    <pic:cNvPicPr>
                      <a:picLocks noChangeAspect="1" noChangeArrowheads="1"/>
                    </pic:cNvPicPr>
                  </pic:nvPicPr>
                  <pic:blipFill rotWithShape="1">
                    <a:blip r:embed="rId15" r:link="rId16">
                      <a:extLst>
                        <a:ext uri="{28A0092B-C50C-407E-A947-70E740481C1C}">
                          <a14:useLocalDpi xmlns:a14="http://schemas.microsoft.com/office/drawing/2010/main" val="0"/>
                        </a:ext>
                      </a:extLst>
                    </a:blip>
                    <a:srcRect l="6179" t="27083" r="3747" b="3426"/>
                    <a:stretch/>
                  </pic:blipFill>
                  <pic:spPr bwMode="auto">
                    <a:xfrm>
                      <a:off x="0" y="0"/>
                      <a:ext cx="5112000" cy="3566431"/>
                    </a:xfrm>
                    <a:prstGeom prst="rect">
                      <a:avLst/>
                    </a:prstGeom>
                    <a:noFill/>
                    <a:ln>
                      <a:noFill/>
                    </a:ln>
                    <a:extLst>
                      <a:ext uri="{53640926-AAD7-44D8-BBD7-CCE9431645EC}">
                        <a14:shadowObscured xmlns:a14="http://schemas.microsoft.com/office/drawing/2010/main"/>
                      </a:ext>
                    </a:extLst>
                  </pic:spPr>
                </pic:pic>
              </a:graphicData>
            </a:graphic>
          </wp:inline>
        </w:drawing>
      </w:r>
    </w:p>
    <w:p w14:paraId="2C1B8CC1" w14:textId="77777777" w:rsidR="00184E21" w:rsidRPr="00D64E6A" w:rsidRDefault="00184E21" w:rsidP="00400716"/>
    <w:p w14:paraId="2C1B8CC2" w14:textId="77777777" w:rsidR="00DC6F16" w:rsidRPr="00D64E6A" w:rsidRDefault="008C1136" w:rsidP="008C1136">
      <w:pPr>
        <w:pStyle w:val="Ttulo2"/>
        <w:ind w:left="709" w:hanging="709"/>
      </w:pPr>
      <w:bookmarkStart w:id="13" w:name="_Toc460517109"/>
      <w:r w:rsidRPr="00D64E6A">
        <w:rPr>
          <w:lang w:val="es-MX"/>
        </w:rPr>
        <w:t>II.4.</w:t>
      </w:r>
      <w:r w:rsidR="007E3EBE" w:rsidRPr="00D64E6A">
        <w:tab/>
      </w:r>
      <w:r w:rsidR="00DC6F16" w:rsidRPr="00D64E6A">
        <w:t>VINCULACIÓN CON EL INSTITUTO FEDERAL DE TELECOMUNICACIONES</w:t>
      </w:r>
      <w:bookmarkEnd w:id="13"/>
    </w:p>
    <w:p w14:paraId="2C1B8CC3" w14:textId="77777777" w:rsidR="008934FD" w:rsidRPr="00D64E6A" w:rsidRDefault="008C1136" w:rsidP="007E3EBE">
      <w:pPr>
        <w:pStyle w:val="Ttulo2"/>
      </w:pPr>
      <w:bookmarkStart w:id="14" w:name="_Toc460517110"/>
      <w:r w:rsidRPr="00D64E6A">
        <w:rPr>
          <w:lang w:val="es-MX"/>
        </w:rPr>
        <w:t>II.4.1.</w:t>
      </w:r>
      <w:r w:rsidR="00C170D7" w:rsidRPr="00D64E6A">
        <w:tab/>
      </w:r>
      <w:r w:rsidR="002C07FE" w:rsidRPr="00D64E6A">
        <w:t>A</w:t>
      </w:r>
      <w:r w:rsidR="008934FD" w:rsidRPr="00D64E6A">
        <w:t>genda de trabajo con el Institut</w:t>
      </w:r>
      <w:r w:rsidR="00BE4E09" w:rsidRPr="00D64E6A">
        <w:t>o Federal de Telecomunicaciones</w:t>
      </w:r>
      <w:bookmarkEnd w:id="14"/>
    </w:p>
    <w:p w14:paraId="2C1B8CC4" w14:textId="77777777" w:rsidR="00A820B4" w:rsidRPr="00D64E6A" w:rsidRDefault="00A820B4" w:rsidP="007C195E">
      <w:pPr>
        <w:ind w:left="567" w:hanging="567"/>
      </w:pPr>
    </w:p>
    <w:p w14:paraId="2C1B8CC5" w14:textId="77777777" w:rsidR="00A820B4" w:rsidRPr="00D64E6A" w:rsidRDefault="009F04C6" w:rsidP="00CF5CD0">
      <w:r w:rsidRPr="00D64E6A">
        <w:t>Tanto para 2015 como para 2016, e</w:t>
      </w:r>
      <w:r w:rsidR="00CF5CD0" w:rsidRPr="00D64E6A">
        <w:t xml:space="preserve">l Comité de Radio y Televisión </w:t>
      </w:r>
      <w:r w:rsidR="0072087A" w:rsidRPr="00D64E6A">
        <w:t xml:space="preserve">se propuso como uno de sus objetivos construir </w:t>
      </w:r>
      <w:r w:rsidR="00CF5CD0" w:rsidRPr="00D64E6A">
        <w:t>una agenda de trabajo con el Instituto Federal de Telecomunicaciones</w:t>
      </w:r>
      <w:r w:rsidR="0072087A" w:rsidRPr="00D64E6A">
        <w:t xml:space="preserve"> (IFT)</w:t>
      </w:r>
      <w:r w:rsidR="00CF5CD0" w:rsidRPr="00D64E6A">
        <w:t xml:space="preserve">, </w:t>
      </w:r>
      <w:r w:rsidR="0072087A" w:rsidRPr="00D64E6A">
        <w:t>a fin de potenciar la</w:t>
      </w:r>
      <w:r w:rsidR="00CF5CD0" w:rsidRPr="00D64E6A">
        <w:t xml:space="preserve"> coordinación entre </w:t>
      </w:r>
      <w:r w:rsidR="0072087A" w:rsidRPr="00D64E6A">
        <w:t>ambas instituciones,</w:t>
      </w:r>
      <w:r w:rsidR="00CF5CD0" w:rsidRPr="00D64E6A">
        <w:t xml:space="preserve"> e intercambi</w:t>
      </w:r>
      <w:r w:rsidR="0072087A" w:rsidRPr="00D64E6A">
        <w:t>ar</w:t>
      </w:r>
      <w:r w:rsidR="00CF5CD0" w:rsidRPr="00D64E6A">
        <w:t xml:space="preserve"> información para el mejor desempeño de </w:t>
      </w:r>
      <w:r w:rsidR="0072087A" w:rsidRPr="00D64E6A">
        <w:t>las</w:t>
      </w:r>
      <w:r w:rsidR="00CF5CD0" w:rsidRPr="00D64E6A">
        <w:t xml:space="preserve"> </w:t>
      </w:r>
      <w:r w:rsidR="0072087A" w:rsidRPr="00D64E6A">
        <w:t>funciones sustantivas del Comité</w:t>
      </w:r>
      <w:r w:rsidR="00CF5CD0" w:rsidRPr="00D64E6A">
        <w:t>.</w:t>
      </w:r>
    </w:p>
    <w:p w14:paraId="2C1B8CC6" w14:textId="77777777" w:rsidR="00A820B4" w:rsidRPr="00D64E6A" w:rsidRDefault="00A820B4" w:rsidP="00C170D7"/>
    <w:p w14:paraId="2C1B8CC7" w14:textId="77777777" w:rsidR="0072087A" w:rsidRPr="00D64E6A" w:rsidRDefault="0072087A" w:rsidP="00C170D7">
      <w:r w:rsidRPr="00D64E6A">
        <w:t>En tal sentido, el Secretario Técnico del Comité propuso una agenda de reuniones</w:t>
      </w:r>
      <w:r w:rsidR="00B34478" w:rsidRPr="00D64E6A">
        <w:rPr>
          <w:rStyle w:val="Refdenotaalpie"/>
        </w:rPr>
        <w:footnoteReference w:id="6"/>
      </w:r>
      <w:r w:rsidRPr="00D64E6A">
        <w:t xml:space="preserve"> con funcionarios del IFT</w:t>
      </w:r>
      <w:r w:rsidR="0088034F" w:rsidRPr="00D64E6A">
        <w:t>, misma que se desarrolló de la siguiente manera:</w:t>
      </w:r>
    </w:p>
    <w:p w14:paraId="2C1B8CC8" w14:textId="77777777" w:rsidR="0088034F" w:rsidRPr="00D64E6A" w:rsidRDefault="0088034F" w:rsidP="0088034F">
      <w:pPr>
        <w:rPr>
          <w:rFonts w:cs="Arial"/>
          <w:szCs w:val="24"/>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6"/>
        <w:gridCol w:w="4492"/>
      </w:tblGrid>
      <w:tr w:rsidR="0088034F" w:rsidRPr="00D64E6A" w14:paraId="2C1B8CCB" w14:textId="77777777" w:rsidTr="00A62245">
        <w:tc>
          <w:tcPr>
            <w:tcW w:w="4336" w:type="dxa"/>
            <w:tcBorders>
              <w:bottom w:val="single" w:sz="12" w:space="0" w:color="auto"/>
              <w:right w:val="single" w:sz="12" w:space="0" w:color="auto"/>
            </w:tcBorders>
            <w:shd w:val="clear" w:color="auto" w:fill="990033"/>
            <w:vAlign w:val="center"/>
          </w:tcPr>
          <w:p w14:paraId="2C1B8CC9" w14:textId="77777777" w:rsidR="0088034F" w:rsidRPr="00D64E6A" w:rsidRDefault="0088034F" w:rsidP="0088034F">
            <w:pPr>
              <w:jc w:val="center"/>
              <w:rPr>
                <w:rFonts w:cs="Arial"/>
                <w:b/>
                <w:szCs w:val="24"/>
                <w:lang w:eastAsia="es-MX"/>
              </w:rPr>
            </w:pPr>
            <w:r w:rsidRPr="00D64E6A">
              <w:rPr>
                <w:rFonts w:cs="Arial"/>
                <w:b/>
                <w:szCs w:val="24"/>
                <w:lang w:eastAsia="es-MX"/>
              </w:rPr>
              <w:t>FECHA</w:t>
            </w:r>
          </w:p>
        </w:tc>
        <w:tc>
          <w:tcPr>
            <w:tcW w:w="4492" w:type="dxa"/>
            <w:tcBorders>
              <w:left w:val="single" w:sz="12" w:space="0" w:color="auto"/>
              <w:bottom w:val="single" w:sz="12" w:space="0" w:color="auto"/>
            </w:tcBorders>
            <w:shd w:val="clear" w:color="auto" w:fill="990033"/>
            <w:vAlign w:val="center"/>
          </w:tcPr>
          <w:p w14:paraId="2C1B8CCA" w14:textId="77777777" w:rsidR="0088034F" w:rsidRPr="00D64E6A" w:rsidRDefault="0088034F" w:rsidP="0088034F">
            <w:pPr>
              <w:jc w:val="center"/>
              <w:rPr>
                <w:rFonts w:cs="Arial"/>
                <w:b/>
                <w:szCs w:val="24"/>
                <w:lang w:eastAsia="es-MX"/>
              </w:rPr>
            </w:pPr>
            <w:r w:rsidRPr="00D64E6A">
              <w:rPr>
                <w:rFonts w:cs="Arial"/>
                <w:b/>
                <w:szCs w:val="24"/>
                <w:lang w:eastAsia="es-MX"/>
              </w:rPr>
              <w:t>TEMA</w:t>
            </w:r>
          </w:p>
        </w:tc>
      </w:tr>
      <w:tr w:rsidR="0088034F" w:rsidRPr="00D64E6A" w14:paraId="2C1B8CCE" w14:textId="77777777" w:rsidTr="00A62245">
        <w:tc>
          <w:tcPr>
            <w:tcW w:w="4336" w:type="dxa"/>
            <w:tcBorders>
              <w:top w:val="single" w:sz="12" w:space="0" w:color="auto"/>
              <w:right w:val="single" w:sz="12" w:space="0" w:color="auto"/>
            </w:tcBorders>
            <w:shd w:val="clear" w:color="auto" w:fill="auto"/>
            <w:vAlign w:val="center"/>
          </w:tcPr>
          <w:p w14:paraId="2C1B8CCC" w14:textId="77777777" w:rsidR="0088034F" w:rsidRPr="00D64E6A" w:rsidRDefault="0088034F" w:rsidP="0088034F">
            <w:pPr>
              <w:jc w:val="center"/>
              <w:rPr>
                <w:rFonts w:cs="Arial"/>
                <w:szCs w:val="24"/>
                <w:lang w:eastAsia="es-MX"/>
              </w:rPr>
            </w:pPr>
            <w:r w:rsidRPr="00D64E6A">
              <w:rPr>
                <w:rFonts w:cs="Arial"/>
                <w:szCs w:val="24"/>
                <w:lang w:eastAsia="es-MX"/>
              </w:rPr>
              <w:t>24 de septiembre</w:t>
            </w:r>
            <w:r w:rsidR="009F04C6" w:rsidRPr="00D64E6A">
              <w:rPr>
                <w:rFonts w:cs="Arial"/>
                <w:szCs w:val="24"/>
                <w:lang w:eastAsia="es-MX"/>
              </w:rPr>
              <w:t xml:space="preserve"> de 2015</w:t>
            </w:r>
          </w:p>
        </w:tc>
        <w:tc>
          <w:tcPr>
            <w:tcW w:w="4492" w:type="dxa"/>
            <w:tcBorders>
              <w:top w:val="single" w:sz="12" w:space="0" w:color="auto"/>
              <w:left w:val="single" w:sz="12" w:space="0" w:color="auto"/>
            </w:tcBorders>
            <w:shd w:val="clear" w:color="auto" w:fill="auto"/>
            <w:vAlign w:val="center"/>
          </w:tcPr>
          <w:p w14:paraId="2C1B8CCD" w14:textId="77777777" w:rsidR="0088034F" w:rsidRPr="00D64E6A" w:rsidRDefault="0088034F" w:rsidP="0088034F">
            <w:pPr>
              <w:jc w:val="left"/>
              <w:rPr>
                <w:rFonts w:cs="Arial"/>
                <w:szCs w:val="24"/>
                <w:lang w:eastAsia="es-MX"/>
              </w:rPr>
            </w:pPr>
            <w:r w:rsidRPr="00D64E6A">
              <w:rPr>
                <w:rFonts w:cs="Arial"/>
                <w:szCs w:val="24"/>
                <w:lang w:eastAsia="es-MX"/>
              </w:rPr>
              <w:t>Multiprogramación de las emisoras de televisión</w:t>
            </w:r>
          </w:p>
        </w:tc>
      </w:tr>
      <w:tr w:rsidR="0088034F" w:rsidRPr="00D64E6A" w14:paraId="2C1B8CD1" w14:textId="77777777" w:rsidTr="00A62245">
        <w:tc>
          <w:tcPr>
            <w:tcW w:w="4336" w:type="dxa"/>
            <w:tcBorders>
              <w:right w:val="single" w:sz="12" w:space="0" w:color="auto"/>
            </w:tcBorders>
            <w:shd w:val="clear" w:color="auto" w:fill="auto"/>
            <w:vAlign w:val="center"/>
          </w:tcPr>
          <w:p w14:paraId="2C1B8CCF" w14:textId="77777777" w:rsidR="0088034F" w:rsidRPr="00D64E6A" w:rsidRDefault="0088034F" w:rsidP="0088034F">
            <w:pPr>
              <w:jc w:val="center"/>
              <w:rPr>
                <w:rFonts w:cs="Arial"/>
                <w:szCs w:val="24"/>
                <w:lang w:eastAsia="es-MX"/>
              </w:rPr>
            </w:pPr>
            <w:r w:rsidRPr="00D64E6A">
              <w:rPr>
                <w:rFonts w:cs="Arial"/>
                <w:szCs w:val="24"/>
                <w:lang w:eastAsia="es-MX"/>
              </w:rPr>
              <w:t>22 de octubre</w:t>
            </w:r>
            <w:r w:rsidR="009F04C6" w:rsidRPr="00D64E6A">
              <w:rPr>
                <w:rFonts w:cs="Arial"/>
                <w:szCs w:val="24"/>
                <w:lang w:eastAsia="es-MX"/>
              </w:rPr>
              <w:t xml:space="preserve"> de 2015</w:t>
            </w:r>
          </w:p>
        </w:tc>
        <w:tc>
          <w:tcPr>
            <w:tcW w:w="4492" w:type="dxa"/>
            <w:tcBorders>
              <w:left w:val="single" w:sz="12" w:space="0" w:color="auto"/>
            </w:tcBorders>
            <w:shd w:val="clear" w:color="auto" w:fill="auto"/>
            <w:vAlign w:val="center"/>
          </w:tcPr>
          <w:p w14:paraId="2C1B8CD0" w14:textId="77777777" w:rsidR="0088034F" w:rsidRPr="00D64E6A" w:rsidRDefault="0088034F" w:rsidP="0088034F">
            <w:pPr>
              <w:jc w:val="left"/>
              <w:rPr>
                <w:rFonts w:cs="Arial"/>
                <w:szCs w:val="24"/>
                <w:lang w:eastAsia="es-MX"/>
              </w:rPr>
            </w:pPr>
            <w:r w:rsidRPr="00D64E6A">
              <w:rPr>
                <w:rFonts w:cs="Arial"/>
                <w:szCs w:val="24"/>
                <w:lang w:eastAsia="es-MX"/>
              </w:rPr>
              <w:t>Transición a la televisión digital terrestre</w:t>
            </w:r>
          </w:p>
        </w:tc>
      </w:tr>
      <w:tr w:rsidR="009F04C6" w:rsidRPr="00D64E6A" w14:paraId="2C1B8CD4" w14:textId="77777777" w:rsidTr="00A62245">
        <w:tc>
          <w:tcPr>
            <w:tcW w:w="4336" w:type="dxa"/>
            <w:tcBorders>
              <w:right w:val="single" w:sz="12" w:space="0" w:color="auto"/>
            </w:tcBorders>
            <w:shd w:val="clear" w:color="auto" w:fill="auto"/>
            <w:vAlign w:val="center"/>
          </w:tcPr>
          <w:p w14:paraId="2C1B8CD2" w14:textId="77777777" w:rsidR="009F04C6" w:rsidRPr="00D64E6A" w:rsidRDefault="009F04C6" w:rsidP="0088034F">
            <w:pPr>
              <w:jc w:val="center"/>
              <w:rPr>
                <w:rFonts w:cs="Arial"/>
                <w:szCs w:val="24"/>
                <w:lang w:eastAsia="es-MX"/>
              </w:rPr>
            </w:pPr>
            <w:r w:rsidRPr="00D64E6A">
              <w:rPr>
                <w:rFonts w:cs="Arial"/>
                <w:szCs w:val="24"/>
                <w:lang w:eastAsia="es-MX"/>
              </w:rPr>
              <w:t>25 de abril de 2016</w:t>
            </w:r>
          </w:p>
        </w:tc>
        <w:tc>
          <w:tcPr>
            <w:tcW w:w="4492" w:type="dxa"/>
            <w:tcBorders>
              <w:left w:val="single" w:sz="12" w:space="0" w:color="auto"/>
            </w:tcBorders>
            <w:shd w:val="clear" w:color="auto" w:fill="auto"/>
            <w:vAlign w:val="center"/>
          </w:tcPr>
          <w:p w14:paraId="2C1B8CD3" w14:textId="77777777" w:rsidR="009F04C6" w:rsidRPr="00D64E6A" w:rsidRDefault="009F04C6" w:rsidP="0088034F">
            <w:pPr>
              <w:jc w:val="left"/>
              <w:rPr>
                <w:rFonts w:cs="Arial"/>
                <w:szCs w:val="24"/>
                <w:lang w:eastAsia="es-MX"/>
              </w:rPr>
            </w:pPr>
            <w:r w:rsidRPr="00D64E6A">
              <w:rPr>
                <w:rFonts w:cs="Arial"/>
                <w:szCs w:val="24"/>
                <w:lang w:eastAsia="es-MX"/>
              </w:rPr>
              <w:t>Mapas de cobertura y el catálogo de emisoras de radio y televisión</w:t>
            </w:r>
          </w:p>
        </w:tc>
      </w:tr>
    </w:tbl>
    <w:p w14:paraId="2C1B8CD5" w14:textId="77777777" w:rsidR="0088034F" w:rsidRPr="00D64E6A" w:rsidRDefault="0088034F" w:rsidP="00AE645A"/>
    <w:p w14:paraId="2C1B8CD6" w14:textId="77777777" w:rsidR="0088034F" w:rsidRPr="00D64E6A" w:rsidRDefault="00A23884" w:rsidP="00AE645A">
      <w:r w:rsidRPr="00D64E6A">
        <w:t>En dichas reuniones, los funcionarios del IFT expusieron diversos pormenores de l</w:t>
      </w:r>
      <w:r w:rsidR="00F809AC" w:rsidRPr="00D64E6A">
        <w:t>os temas</w:t>
      </w:r>
      <w:r w:rsidRPr="00D64E6A">
        <w:t xml:space="preserve"> enlistad</w:t>
      </w:r>
      <w:r w:rsidR="00F809AC" w:rsidRPr="00D64E6A">
        <w:t>o</w:t>
      </w:r>
      <w:r w:rsidRPr="00D64E6A">
        <w:t>s, respondiendo a las dudas y cuestionamientos de diferentes integrantes del Comité.</w:t>
      </w:r>
    </w:p>
    <w:p w14:paraId="2C1B8CD7" w14:textId="77777777" w:rsidR="0072087A" w:rsidRPr="00D64E6A" w:rsidRDefault="0072087A" w:rsidP="00AE645A"/>
    <w:p w14:paraId="2C1B8CD8" w14:textId="77777777" w:rsidR="008934FD" w:rsidRPr="00D64E6A" w:rsidRDefault="008C1136" w:rsidP="00AE645A">
      <w:pPr>
        <w:pStyle w:val="Ttulo2"/>
        <w:spacing w:before="0" w:after="0"/>
        <w:ind w:left="709" w:hanging="709"/>
      </w:pPr>
      <w:bookmarkStart w:id="15" w:name="_Toc460517111"/>
      <w:r w:rsidRPr="00D64E6A">
        <w:rPr>
          <w:lang w:val="es-MX"/>
        </w:rPr>
        <w:t>II.4</w:t>
      </w:r>
      <w:r w:rsidR="00DC6F16" w:rsidRPr="00D64E6A">
        <w:t>.2</w:t>
      </w:r>
      <w:r w:rsidRPr="00D64E6A">
        <w:rPr>
          <w:lang w:val="es-MX"/>
        </w:rPr>
        <w:t>.</w:t>
      </w:r>
      <w:r w:rsidR="00C170D7" w:rsidRPr="00D64E6A">
        <w:tab/>
      </w:r>
      <w:r w:rsidR="008934FD" w:rsidRPr="00D64E6A">
        <w:t>Recibir del Instituto Federal de Telecomunicaciones los mapas de cobertura y declarar la actualización y vigencia del marco geográfico electoral relativo a los mapas de cobertura de todas las estaciones de radio y canales de televisión</w:t>
      </w:r>
      <w:bookmarkEnd w:id="15"/>
    </w:p>
    <w:p w14:paraId="2C1B8CD9" w14:textId="77777777" w:rsidR="00A820B4" w:rsidRPr="00D64E6A" w:rsidRDefault="00A820B4" w:rsidP="00AE645A"/>
    <w:p w14:paraId="2C1B8CDA" w14:textId="77777777" w:rsidR="00B25600" w:rsidRPr="00D64E6A" w:rsidRDefault="00B25600" w:rsidP="00AE645A">
      <w:r w:rsidRPr="00D64E6A">
        <w:t>En la Tercera Sesión Extraordinaria</w:t>
      </w:r>
      <w:r w:rsidR="00F809AC" w:rsidRPr="00D64E6A">
        <w:t>, celebrada el 17 de noviembre de 2015</w:t>
      </w:r>
      <w:r w:rsidRPr="00D64E6A">
        <w:t>, este Comité aprobó el Acuerdo INE/ACRT/</w:t>
      </w:r>
      <w:r w:rsidR="00D362E0" w:rsidRPr="00D64E6A">
        <w:t>39/2015, por el que declar</w:t>
      </w:r>
      <w:r w:rsidR="00F809AC" w:rsidRPr="00D64E6A">
        <w:t>ó</w:t>
      </w:r>
      <w:r w:rsidR="00D362E0" w:rsidRPr="00D64E6A">
        <w:t xml:space="preserve"> la actualización y vigencia del marco geográfico electoral relativo a los mapas de cobertura de todas las estaciones de radio y canales de televisión en la República.</w:t>
      </w:r>
    </w:p>
    <w:p w14:paraId="2C1B8CDB" w14:textId="77777777" w:rsidR="000F1C37" w:rsidRPr="00D64E6A" w:rsidRDefault="000F1C37" w:rsidP="00AE645A"/>
    <w:p w14:paraId="2C1B8CDC" w14:textId="77777777" w:rsidR="00875F32" w:rsidRPr="00D64E6A" w:rsidRDefault="00875F32" w:rsidP="00AE645A">
      <w:r w:rsidRPr="00D64E6A">
        <w:t>Este Acuerdo instruyó a la Dirección Ejecutiva de Prerrogativas y Partidos Políticos a que una vez concluida la transición de la transmisión analógica a la televisión digital terrestre, requiera al Instituto Federal de Telecomunicaciones, con la finalidad de someter a consideración del órgano colegiado la actualización de los mapas de cobertura correspondientes a la transmisión digital.</w:t>
      </w:r>
    </w:p>
    <w:p w14:paraId="2C1B8CDD" w14:textId="77777777" w:rsidR="00875F32" w:rsidRPr="00D64E6A" w:rsidRDefault="00875F32" w:rsidP="00AE645A"/>
    <w:p w14:paraId="2C1B8CDE" w14:textId="77777777" w:rsidR="000F1C37" w:rsidRPr="00D64E6A" w:rsidRDefault="00875F32" w:rsidP="00AE645A">
      <w:r w:rsidRPr="00D64E6A">
        <w:t>En cumplimiento de lo anterior, y c</w:t>
      </w:r>
      <w:r w:rsidR="000F1C37" w:rsidRPr="00D64E6A">
        <w:t>omo se señaló en el apartado</w:t>
      </w:r>
      <w:r w:rsidR="00C438B3" w:rsidRPr="00D64E6A">
        <w:t xml:space="preserve"> anterior,</w:t>
      </w:r>
      <w:r w:rsidR="000F1C37" w:rsidRPr="00D64E6A">
        <w:t xml:space="preserve"> el Comité celebró reuniones de trabajo </w:t>
      </w:r>
      <w:r w:rsidR="003418D0" w:rsidRPr="00D64E6A">
        <w:t xml:space="preserve">con personal del IFT </w:t>
      </w:r>
      <w:r w:rsidR="00C438B3" w:rsidRPr="00D64E6A">
        <w:t>para, entre otros aspectos, analizar la forma y términos en que son elaborados los mapas de cobertura.</w:t>
      </w:r>
    </w:p>
    <w:p w14:paraId="2C1B8CDF" w14:textId="77777777" w:rsidR="00C438B3" w:rsidRPr="00D64E6A" w:rsidRDefault="00C438B3" w:rsidP="00AE645A"/>
    <w:p w14:paraId="2C1B8CE0" w14:textId="77777777" w:rsidR="00875F32" w:rsidRPr="00D64E6A" w:rsidRDefault="00C438B3" w:rsidP="00AE645A">
      <w:r w:rsidRPr="00D64E6A">
        <w:t xml:space="preserve">En la reunión del 25 de abril, </w:t>
      </w:r>
      <w:r w:rsidR="003139C7" w:rsidRPr="00D64E6A">
        <w:t xml:space="preserve">personal de mando </w:t>
      </w:r>
      <w:r w:rsidR="003418D0" w:rsidRPr="00D64E6A">
        <w:t>IFT</w:t>
      </w:r>
      <w:r w:rsidR="003139C7" w:rsidRPr="00D64E6A">
        <w:t xml:space="preserve"> hizo una presentación sobre las circunstancias que intervienen en la demarcación de las áreas que cubren las emisoras de radio y de televisión. En dicha ocasión, diversos integrantes del Comité </w:t>
      </w:r>
      <w:r w:rsidR="003418D0" w:rsidRPr="00D64E6A">
        <w:t>formularon preguntas e intercambiaron opiniones con los funcionarios del IFT.</w:t>
      </w:r>
      <w:r w:rsidR="0094378E" w:rsidRPr="00D64E6A">
        <w:t xml:space="preserve"> Desde luego, los canales de comunicación con esta institución permanecen abiertos.</w:t>
      </w:r>
    </w:p>
    <w:p w14:paraId="2C1B8CE1" w14:textId="77777777" w:rsidR="00875F32" w:rsidRPr="00D64E6A" w:rsidRDefault="00875F32" w:rsidP="00AE645A"/>
    <w:p w14:paraId="2C1B8CE2" w14:textId="77777777" w:rsidR="00875F32" w:rsidRPr="00D64E6A" w:rsidRDefault="00875F32" w:rsidP="00AE645A">
      <w:r w:rsidRPr="00D64E6A">
        <w:t>Es de resaltar que el Plan de Trabajo Anual 2016 instruyó a la Dirección Ejecutiva de Prerrogativas y Partidos Políticos para actualizar en el portal de internet del Instituto Nacional Electoral la información relativa a los mapas de cobertura, con la finalidad de permitir a los usuarios interactuar con ellos, a partir de determinadas variables preestablecidas. Esta actividad está programada para el tercer trimestre de 2016.</w:t>
      </w:r>
    </w:p>
    <w:p w14:paraId="2C1B8CE3" w14:textId="77777777" w:rsidR="0094378E" w:rsidRPr="00D64E6A" w:rsidRDefault="0094378E" w:rsidP="00DF23FA">
      <w:pPr>
        <w:spacing w:line="320" w:lineRule="exact"/>
      </w:pPr>
    </w:p>
    <w:p w14:paraId="2C1B8CE4" w14:textId="77777777" w:rsidR="00AE645A" w:rsidRPr="00D64E6A" w:rsidRDefault="00AE645A" w:rsidP="00DF23FA">
      <w:pPr>
        <w:spacing w:line="320" w:lineRule="exact"/>
      </w:pPr>
    </w:p>
    <w:p w14:paraId="2C1B8CE5" w14:textId="77777777" w:rsidR="00AE645A" w:rsidRPr="00D64E6A" w:rsidRDefault="00AE645A" w:rsidP="00DF23FA">
      <w:pPr>
        <w:spacing w:line="320" w:lineRule="exact"/>
      </w:pPr>
    </w:p>
    <w:p w14:paraId="2C1B8CE6" w14:textId="77777777" w:rsidR="00AE645A" w:rsidRPr="00D64E6A" w:rsidRDefault="00AE645A" w:rsidP="00DF23FA">
      <w:pPr>
        <w:spacing w:line="320" w:lineRule="exact"/>
      </w:pPr>
    </w:p>
    <w:p w14:paraId="2C1B8CE7" w14:textId="77777777" w:rsidR="00AE645A" w:rsidRPr="00D64E6A" w:rsidRDefault="00AE645A" w:rsidP="00DF23FA">
      <w:pPr>
        <w:spacing w:line="320" w:lineRule="exact"/>
      </w:pPr>
    </w:p>
    <w:p w14:paraId="2C1B8CE8" w14:textId="77777777" w:rsidR="00AE645A" w:rsidRPr="00D64E6A" w:rsidRDefault="00AE645A" w:rsidP="00DF23FA">
      <w:pPr>
        <w:spacing w:line="320" w:lineRule="exact"/>
      </w:pPr>
    </w:p>
    <w:p w14:paraId="2C1B8CE9" w14:textId="77777777" w:rsidR="00DC6F16" w:rsidRPr="00D64E6A" w:rsidRDefault="008C1136" w:rsidP="008C1136">
      <w:pPr>
        <w:pStyle w:val="Ttulo2"/>
        <w:ind w:left="709" w:hanging="709"/>
      </w:pPr>
      <w:bookmarkStart w:id="16" w:name="_Toc460517112"/>
      <w:r w:rsidRPr="00D64E6A">
        <w:rPr>
          <w:lang w:val="es-MX"/>
        </w:rPr>
        <w:t>II.5</w:t>
      </w:r>
      <w:r w:rsidR="00D1494F" w:rsidRPr="00D64E6A">
        <w:t>.</w:t>
      </w:r>
      <w:r w:rsidRPr="00D64E6A">
        <w:tab/>
        <w:t>CONOCER LOS INFORMES DE VERIFICACIÓN DE TRANSMISIONES DE LOS PROMOCIONALES DE LOS PARTIDOS POLÍTICOS, Y DE REQUERIMIENTOS POR PRESUNTOS INCUMPLIMIENTOS A LOS PAUTADOS</w:t>
      </w:r>
      <w:bookmarkEnd w:id="16"/>
    </w:p>
    <w:p w14:paraId="2C1B8CEA" w14:textId="77777777" w:rsidR="00A820B4" w:rsidRPr="00D64E6A" w:rsidRDefault="00A820B4" w:rsidP="00C170D7"/>
    <w:p w14:paraId="2C1B8CEB" w14:textId="77777777" w:rsidR="0039000D" w:rsidRPr="00D64E6A" w:rsidRDefault="00B9718B" w:rsidP="00B9718B">
      <w:r w:rsidRPr="00D64E6A">
        <w:t xml:space="preserve">De conformidad con los artículos 184, </w:t>
      </w:r>
      <w:r w:rsidR="00FF35DB" w:rsidRPr="00D64E6A">
        <w:t>párrafo</w:t>
      </w:r>
      <w:r w:rsidRPr="00D64E6A">
        <w:t xml:space="preserve"> 7 de la Ley General de Instituciones y Procedimientos Electorales; 57 del Reglamento de Radio y Televisión en Materia Electoral, y 1</w:t>
      </w:r>
      <w:r w:rsidR="00FF35DB" w:rsidRPr="00D64E6A">
        <w:t>0</w:t>
      </w:r>
      <w:r w:rsidRPr="00D64E6A">
        <w:t xml:space="preserve">, </w:t>
      </w:r>
      <w:r w:rsidR="00FF35DB" w:rsidRPr="00D64E6A">
        <w:t>párrafo</w:t>
      </w:r>
      <w:r w:rsidRPr="00D64E6A">
        <w:t xml:space="preserve"> 1, inciso </w:t>
      </w:r>
      <w:r w:rsidR="00FF35DB" w:rsidRPr="00D64E6A">
        <w:t>r</w:t>
      </w:r>
      <w:r w:rsidRPr="00D64E6A">
        <w:t>) del Reglamento de Sesiones del Comité de Radio y Televisión, el Instituto realizará verificaciones para corroborar el cumplimiento de las pautas de transmisión que apruebe.</w:t>
      </w:r>
    </w:p>
    <w:p w14:paraId="2C1B8CEC" w14:textId="77777777" w:rsidR="0039000D" w:rsidRPr="00D64E6A" w:rsidRDefault="0039000D" w:rsidP="00B9718B"/>
    <w:p w14:paraId="2C1B8CED" w14:textId="77777777" w:rsidR="0039000D" w:rsidRPr="00D64E6A" w:rsidRDefault="00F67F0A" w:rsidP="00B9718B">
      <w:r w:rsidRPr="00D64E6A">
        <w:t>En particular, se verifica que l</w:t>
      </w:r>
      <w:r w:rsidR="00B9718B" w:rsidRPr="00D64E6A">
        <w:t xml:space="preserve">os mensajes de los partidos políticos </w:t>
      </w:r>
      <w:r w:rsidRPr="00D64E6A">
        <w:t>sean</w:t>
      </w:r>
      <w:r w:rsidR="00B9718B" w:rsidRPr="00D64E6A">
        <w:t xml:space="preserve"> transmitidos sin alteración, superposición o manipulación alguna que altere o d</w:t>
      </w:r>
      <w:r w:rsidR="0039000D" w:rsidRPr="00D64E6A">
        <w:t>istors</w:t>
      </w:r>
      <w:r w:rsidRPr="00D64E6A">
        <w:t>ione su sentido original. L</w:t>
      </w:r>
      <w:r w:rsidR="00B9718B" w:rsidRPr="00D64E6A">
        <w:t>a Dirección Ejecutiva de Prerrogativas y Partidos Políticos</w:t>
      </w:r>
      <w:r w:rsidRPr="00D64E6A">
        <w:t xml:space="preserve"> debe informar</w:t>
      </w:r>
      <w:r w:rsidR="00B9718B" w:rsidRPr="00D64E6A">
        <w:t xml:space="preserve"> al Comité sobre las verificaciones efectuadas y po</w:t>
      </w:r>
      <w:r w:rsidRPr="00D64E6A">
        <w:t>ner</w:t>
      </w:r>
      <w:r w:rsidR="00B9718B" w:rsidRPr="00D64E6A">
        <w:t xml:space="preserve"> a disposición de sus integrantes los reportes correspondientes.</w:t>
      </w:r>
    </w:p>
    <w:p w14:paraId="2C1B8CEE" w14:textId="77777777" w:rsidR="0039000D" w:rsidRPr="00D64E6A" w:rsidRDefault="0039000D" w:rsidP="00B9718B"/>
    <w:p w14:paraId="2C1B8CEF" w14:textId="77777777" w:rsidR="004B6B98" w:rsidRPr="00D64E6A" w:rsidRDefault="007372DF" w:rsidP="00B9718B">
      <w:r w:rsidRPr="00D64E6A">
        <w:t>En cumplimiento de lo anterior, y durante el periodo que se informa, los miembros del Comité conocieron por medio electrónico los informes de monitoreo semanales de las transmisiones en radio y televisión de los promocionales de los partidos políticos contendientes en los Procesos Electorales Extraordinarios celebrados en 2015, así como los relativos a los Procesos Electorales Locales 2015-2016, de forma semanal. Por lo que respecta a los informes de monitoreo de periodo ordinario, se enviaron a los integrantes de forma quincenal.</w:t>
      </w:r>
    </w:p>
    <w:p w14:paraId="2C1B8CF0" w14:textId="77777777" w:rsidR="0039000D" w:rsidRPr="00D64E6A" w:rsidRDefault="0039000D" w:rsidP="00B9718B"/>
    <w:p w14:paraId="2C1B8CF1" w14:textId="77777777" w:rsidR="00A820B4" w:rsidRPr="00D64E6A" w:rsidRDefault="00B9718B" w:rsidP="00B9718B">
      <w:r w:rsidRPr="00D64E6A">
        <w:t xml:space="preserve">De igual forma, los integrantes del Comité recibieron en </w:t>
      </w:r>
      <w:r w:rsidR="00BA46D7" w:rsidRPr="00D64E6A">
        <w:t>el periodo que cubre el presente reporte</w:t>
      </w:r>
      <w:r w:rsidRPr="00D64E6A">
        <w:t>, por parte de la Secretaría Técnica, informes quincenales sobre el monitoreo de diversas señales de televisión restringida</w:t>
      </w:r>
      <w:r w:rsidR="0039000D" w:rsidRPr="00D64E6A">
        <w:t>.</w:t>
      </w:r>
    </w:p>
    <w:p w14:paraId="2C1B8CF2" w14:textId="77777777" w:rsidR="00D4735C" w:rsidRPr="00D64E6A" w:rsidRDefault="00D4735C" w:rsidP="00B9718B"/>
    <w:p w14:paraId="2C1B8CF3" w14:textId="77777777" w:rsidR="00702191" w:rsidRPr="00D64E6A" w:rsidRDefault="00702191" w:rsidP="00B9718B">
      <w:pPr>
        <w:rPr>
          <w:i/>
        </w:rPr>
      </w:pPr>
      <w:r w:rsidRPr="00D64E6A">
        <w:t xml:space="preserve">Asimismo, de manera mensual –en cada sesión ordinaria- la Secretaría Técnica presentó el </w:t>
      </w:r>
      <w:r w:rsidRPr="00D64E6A">
        <w:rPr>
          <w:i/>
        </w:rPr>
        <w:t>Informe de los requerimientos formulados a los concesionarios de radio y televisión por presuntos incumplimientos a la pauta.</w:t>
      </w:r>
    </w:p>
    <w:p w14:paraId="2C1B8CF4" w14:textId="77777777" w:rsidR="00702191" w:rsidRPr="00D64E6A" w:rsidRDefault="00702191" w:rsidP="00B9718B">
      <w:r w:rsidRPr="00D64E6A">
        <w:t xml:space="preserve"> </w:t>
      </w:r>
    </w:p>
    <w:p w14:paraId="2C1B8CF5" w14:textId="77777777" w:rsidR="00D4735C" w:rsidRPr="00D64E6A" w:rsidRDefault="00702191" w:rsidP="00B9718B">
      <w:r w:rsidRPr="00D64E6A">
        <w:t>Cabe señalar que</w:t>
      </w:r>
      <w:r w:rsidR="00F67F0A" w:rsidRPr="00D64E6A">
        <w:t>,</w:t>
      </w:r>
      <w:r w:rsidRPr="00D64E6A">
        <w:t xml:space="preserve"> a partir del mes de noviembre</w:t>
      </w:r>
      <w:r w:rsidR="00970C1A" w:rsidRPr="00D64E6A">
        <w:t xml:space="preserve"> de 2015</w:t>
      </w:r>
      <w:r w:rsidR="00F67F0A" w:rsidRPr="00D64E6A">
        <w:t>,</w:t>
      </w:r>
      <w:r w:rsidR="00DE06D7" w:rsidRPr="00D64E6A">
        <w:t xml:space="preserve"> se realizaron ajustes en los informes de monitoreo y requerimientos con la finalidad d</w:t>
      </w:r>
      <w:r w:rsidR="007A6C76" w:rsidRPr="00D64E6A">
        <w:t>e integrar en un solo documento</w:t>
      </w:r>
      <w:r w:rsidR="00DE06D7" w:rsidRPr="00D64E6A">
        <w:t xml:space="preserve"> el contenido de ambos. Los cambios realizados </w:t>
      </w:r>
      <w:r w:rsidR="00F67F0A" w:rsidRPr="00D64E6A">
        <w:t>buscan presentar información de manera más ágil y completa, al</w:t>
      </w:r>
      <w:r w:rsidR="00DE06D7" w:rsidRPr="00D64E6A">
        <w:t xml:space="preserve"> correlacionar un mismo fenómeno que hasta ese momento se reportaba en dos momentos diferentes permitiendo una visión más completa del mismo.</w:t>
      </w:r>
      <w:r w:rsidR="00EE6435" w:rsidRPr="00D64E6A">
        <w:rPr>
          <w:rStyle w:val="Refdenotaalpie"/>
        </w:rPr>
        <w:footnoteReference w:id="7"/>
      </w:r>
    </w:p>
    <w:p w14:paraId="2C1B8CF6" w14:textId="77777777" w:rsidR="007A6C76" w:rsidRPr="00D64E6A" w:rsidRDefault="007A6C76" w:rsidP="00B9718B"/>
    <w:p w14:paraId="2C1B8CF7" w14:textId="77777777" w:rsidR="00450664" w:rsidRPr="00D64E6A" w:rsidRDefault="007A6C76" w:rsidP="007A6C76">
      <w:r w:rsidRPr="00D64E6A">
        <w:t xml:space="preserve">Por otra parte, </w:t>
      </w:r>
      <w:r w:rsidR="00450664" w:rsidRPr="00D64E6A">
        <w:t>en la Segunda Sesión Ordinaria de 2016, celebrada el 17 de marzo, la Secretaría Técnica presentó al Comité el “Informe de Resultados de Monitoreo”, cuyo objeto consistió en mostrar los resultados finales del proceso de verificación y monitoreo que se realizó a las señales radiodifundidas monitoreadas durante el segundo semestre de 2015.</w:t>
      </w:r>
    </w:p>
    <w:p w14:paraId="2C1B8CF8" w14:textId="77777777" w:rsidR="00E45565" w:rsidRPr="00D64E6A" w:rsidRDefault="00E45565" w:rsidP="007A6C76"/>
    <w:p w14:paraId="2C1B8CF9" w14:textId="77777777" w:rsidR="00E45565" w:rsidRPr="00D64E6A" w:rsidRDefault="00E45565" w:rsidP="007A6C76">
      <w:r w:rsidRPr="00D64E6A">
        <w:t xml:space="preserve">En esa misma ocasión, el Comité conoció </w:t>
      </w:r>
      <w:r w:rsidR="004E61CC" w:rsidRPr="00D64E6A">
        <w:t xml:space="preserve">también </w:t>
      </w:r>
      <w:r w:rsidRPr="00D64E6A">
        <w:t xml:space="preserve">el </w:t>
      </w:r>
      <w:r w:rsidR="004E61CC" w:rsidRPr="00D64E6A">
        <w:t>“</w:t>
      </w:r>
      <w:r w:rsidRPr="00D64E6A">
        <w:t>Informe sobre la transmisión de promocionales excedentes</w:t>
      </w:r>
      <w:r w:rsidR="004E61CC" w:rsidRPr="00D64E6A">
        <w:t>”</w:t>
      </w:r>
      <w:r w:rsidRPr="00D64E6A">
        <w:t>, como resultado del interés de diversos integrantes del órgano colegiado, en el sentido de que tanto las omisiones que son objeto de reprogramaciones como los excedentes</w:t>
      </w:r>
      <w:r w:rsidR="004E61CC" w:rsidRPr="00D64E6A">
        <w:t>,</w:t>
      </w:r>
      <w:r w:rsidRPr="00D64E6A">
        <w:t xml:space="preserve"> tuviesen un comportamiento aleatorio. Dicho informe </w:t>
      </w:r>
      <w:r w:rsidR="00B83977" w:rsidRPr="00D64E6A">
        <w:t>proporcionó un estudio estadístico</w:t>
      </w:r>
      <w:r w:rsidRPr="00D64E6A">
        <w:t xml:space="preserve"> para </w:t>
      </w:r>
      <w:r w:rsidR="00B83977" w:rsidRPr="00D64E6A">
        <w:t>posibilitar el análisis sobre</w:t>
      </w:r>
      <w:r w:rsidRPr="00D64E6A">
        <w:t xml:space="preserve"> el comportamiento </w:t>
      </w:r>
      <w:r w:rsidR="00B83977" w:rsidRPr="00D64E6A">
        <w:t xml:space="preserve">aleatorio o no </w:t>
      </w:r>
      <w:r w:rsidRPr="00D64E6A">
        <w:t xml:space="preserve">de estas dos </w:t>
      </w:r>
      <w:r w:rsidR="00B83977" w:rsidRPr="00D64E6A">
        <w:t>variables, presentes a</w:t>
      </w:r>
      <w:r w:rsidRPr="00D64E6A">
        <w:t xml:space="preserve"> lo largo de toda la existencia del actual modelo de comunicación política.</w:t>
      </w:r>
      <w:r w:rsidR="00B83977" w:rsidRPr="00D64E6A">
        <w:t xml:space="preserve"> En la sesión referida, el informe fue analizado y discutido ampliamente.</w:t>
      </w:r>
    </w:p>
    <w:p w14:paraId="2C1B8CFA" w14:textId="77777777" w:rsidR="00450664" w:rsidRPr="00D64E6A" w:rsidRDefault="00450664" w:rsidP="007A6C76"/>
    <w:p w14:paraId="2C1B8CFB" w14:textId="77777777" w:rsidR="007A6C76" w:rsidRPr="00D64E6A" w:rsidRDefault="00450664" w:rsidP="007A6C76">
      <w:r w:rsidRPr="00D64E6A">
        <w:t xml:space="preserve">Finalmente, </w:t>
      </w:r>
      <w:r w:rsidR="007A6C76" w:rsidRPr="00D64E6A">
        <w:t xml:space="preserve">en la Tercera Sesión Ordinaria de 2016, celebrada el 17 de marzo, la Secretaría Técnica presentó al Comité el Sistema de Análisis del </w:t>
      </w:r>
      <w:r w:rsidRPr="00D64E6A">
        <w:t xml:space="preserve">Proceso Electoral Federal </w:t>
      </w:r>
      <w:r w:rsidR="007A6C76" w:rsidRPr="00D64E6A">
        <w:t xml:space="preserve">2014-2015, donde </w:t>
      </w:r>
      <w:r w:rsidR="005E5B30" w:rsidRPr="00D64E6A">
        <w:t>es posible</w:t>
      </w:r>
      <w:r w:rsidR="007A6C76" w:rsidRPr="00D64E6A">
        <w:t xml:space="preserve"> visualizar los resultados de monitoreo de manera interactiva y mostrando la información desde div</w:t>
      </w:r>
      <w:r w:rsidR="005E5B30" w:rsidRPr="00D64E6A">
        <w:t>ersas perspectivas y variables.</w:t>
      </w:r>
    </w:p>
    <w:p w14:paraId="2C1B8CFC" w14:textId="77777777" w:rsidR="005E5B30" w:rsidRPr="00D64E6A" w:rsidRDefault="005E5B30" w:rsidP="007A6C76"/>
    <w:p w14:paraId="2C1B8CFD" w14:textId="77777777" w:rsidR="005E5B30" w:rsidRPr="00D64E6A" w:rsidRDefault="005E5B30" w:rsidP="007A6C76">
      <w:r w:rsidRPr="00D64E6A">
        <w:t>M</w:t>
      </w:r>
      <w:r w:rsidR="007A6C76" w:rsidRPr="00D64E6A">
        <w:t xml:space="preserve">ediante </w:t>
      </w:r>
      <w:r w:rsidRPr="00D64E6A">
        <w:t>dicho</w:t>
      </w:r>
      <w:r w:rsidR="007A6C76" w:rsidRPr="00D64E6A">
        <w:t xml:space="preserve"> portal </w:t>
      </w:r>
      <w:r w:rsidRPr="00D64E6A">
        <w:t>se accede</w:t>
      </w:r>
      <w:r w:rsidR="007A6C76" w:rsidRPr="00D64E6A">
        <w:t xml:space="preserve"> a datos tales como cumplimiento nacional acumulado, cumplimiento por entidad, por partido, por proceso electoral, de autoridades, detalles de transmisión de pauta, niveles de incumplimiento, misiones, excedentes, cumplimiento de reprogramaciones, </w:t>
      </w:r>
      <w:r w:rsidRPr="00D64E6A">
        <w:t>entre otros</w:t>
      </w:r>
      <w:r w:rsidR="007A6C76" w:rsidRPr="00D64E6A">
        <w:t xml:space="preserve">. </w:t>
      </w:r>
    </w:p>
    <w:p w14:paraId="2C1B8CFE" w14:textId="77777777" w:rsidR="005E5B30" w:rsidRPr="00D64E6A" w:rsidRDefault="005E5B30" w:rsidP="007A6C76"/>
    <w:p w14:paraId="2C1B8CFF" w14:textId="77777777" w:rsidR="007A6C76" w:rsidRPr="00D64E6A" w:rsidRDefault="005E5B30" w:rsidP="00B9718B">
      <w:r w:rsidRPr="00D64E6A">
        <w:t xml:space="preserve">En dicha oportunidad, los integrantes del Comité recibieron una </w:t>
      </w:r>
      <w:r w:rsidR="007A6C76" w:rsidRPr="00D64E6A">
        <w:t>explica</w:t>
      </w:r>
      <w:r w:rsidRPr="00D64E6A">
        <w:t>ción exhaustiva</w:t>
      </w:r>
      <w:r w:rsidR="007A6C76" w:rsidRPr="00D64E6A">
        <w:t xml:space="preserve"> de los módulos que </w:t>
      </w:r>
      <w:r w:rsidRPr="00D64E6A">
        <w:t>integran dicho sistema.</w:t>
      </w:r>
    </w:p>
    <w:p w14:paraId="2C1B8D00" w14:textId="77777777" w:rsidR="00DC6F16" w:rsidRPr="00D64E6A" w:rsidRDefault="00DC6F16" w:rsidP="00C170D7"/>
    <w:p w14:paraId="2C1B8D01" w14:textId="77777777" w:rsidR="00400716" w:rsidRPr="00D64E6A" w:rsidRDefault="008C1136" w:rsidP="008C1136">
      <w:pPr>
        <w:pStyle w:val="Ttulo2"/>
        <w:ind w:left="709" w:hanging="709"/>
      </w:pPr>
      <w:bookmarkStart w:id="17" w:name="_Toc460517113"/>
      <w:r w:rsidRPr="00D64E6A">
        <w:t>II.6.</w:t>
      </w:r>
      <w:r w:rsidR="007E3EBE" w:rsidRPr="00D64E6A">
        <w:tab/>
      </w:r>
      <w:r w:rsidRPr="00D64E6A">
        <w:t>RESOLVER LAS CONSULTAS SOBRE LA APLICACIÓN DE LAS DISPOSICIONES DE LA LEY Y EL REGLAMENTO</w:t>
      </w:r>
      <w:bookmarkEnd w:id="17"/>
    </w:p>
    <w:p w14:paraId="2C1B8D02" w14:textId="77777777" w:rsidR="00A820B4" w:rsidRPr="00D64E6A" w:rsidRDefault="00A820B4" w:rsidP="00C170D7"/>
    <w:p w14:paraId="2C1B8D03" w14:textId="77777777" w:rsidR="00E8218E" w:rsidRPr="00D64E6A" w:rsidRDefault="00E7396C" w:rsidP="004D6980">
      <w:r w:rsidRPr="00D64E6A">
        <w:t xml:space="preserve">Durante el </w:t>
      </w:r>
      <w:r w:rsidR="006D4E2C" w:rsidRPr="00D64E6A">
        <w:t>periodo</w:t>
      </w:r>
      <w:r w:rsidRPr="00D64E6A">
        <w:t xml:space="preserve"> que se informa, este Comité conoció </w:t>
      </w:r>
      <w:r w:rsidR="006D4E2C" w:rsidRPr="00D64E6A">
        <w:t>la</w:t>
      </w:r>
      <w:r w:rsidRPr="00D64E6A">
        <w:t xml:space="preserve"> consulta presentada por el </w:t>
      </w:r>
      <w:r w:rsidR="00103F4C" w:rsidRPr="00D64E6A">
        <w:t>otrora</w:t>
      </w:r>
      <w:r w:rsidRPr="00D64E6A">
        <w:t xml:space="preserve"> Partido del Trabajo, en relación al reintegro </w:t>
      </w:r>
      <w:r w:rsidR="004D6980" w:rsidRPr="00D64E6A">
        <w:t>de su</w:t>
      </w:r>
      <w:r w:rsidR="00E8218E" w:rsidRPr="00D64E6A">
        <w:t xml:space="preserve"> prerrogativa nacional en materia de radio y televisión a su favor, como consecuencia de lo dictado en la sentencia SUP-RAP-654/2015 respecto de la declaratoria relativa a su registro como partido político nacional.</w:t>
      </w:r>
      <w:r w:rsidR="001E1301" w:rsidRPr="00D64E6A">
        <w:t xml:space="preserve"> </w:t>
      </w:r>
      <w:r w:rsidR="00E8218E" w:rsidRPr="00D64E6A">
        <w:t xml:space="preserve">Al respecto, </w:t>
      </w:r>
      <w:r w:rsidR="001E1301" w:rsidRPr="00D64E6A">
        <w:t xml:space="preserve">el Comité </w:t>
      </w:r>
      <w:r w:rsidR="00E8218E" w:rsidRPr="00D64E6A">
        <w:t xml:space="preserve">declaró improcedente dicha solicitud, en virtud de que los días de promocionales que no fueron transmitidos, </w:t>
      </w:r>
      <w:r w:rsidR="00926FED" w:rsidRPr="00D64E6A">
        <w:t>fueron</w:t>
      </w:r>
      <w:r w:rsidR="00E8218E" w:rsidRPr="00D64E6A">
        <w:t xml:space="preserve"> actos consumados y de imposible reparación, puesto que los tiempos en radio y televisión ya habían sido agotados.</w:t>
      </w:r>
    </w:p>
    <w:p w14:paraId="2C1B8D04" w14:textId="77777777" w:rsidR="00CD1E0D" w:rsidRPr="00D64E6A" w:rsidRDefault="00CD1E0D" w:rsidP="004D6980"/>
    <w:p w14:paraId="2C1B8D05" w14:textId="77777777" w:rsidR="006B4B77" w:rsidRPr="00D64E6A" w:rsidRDefault="00CD1E0D" w:rsidP="004D6980">
      <w:r w:rsidRPr="00D64E6A">
        <w:t xml:space="preserve">Asimismo, se conoció la consulta de la Dirección General de Radio, Televisión y Cinematografía </w:t>
      </w:r>
      <w:r w:rsidR="006B4B77" w:rsidRPr="00D64E6A">
        <w:t xml:space="preserve">de la Secretaría de Gobernación, en relación con las emisoras de la Ciudad de México, Morelos e Hidalgo obligadas a suspender la difusión de propaganda gubernamental por la elección extraordinaria del Ayuntamiento de Chiautla, </w:t>
      </w:r>
      <w:r w:rsidR="00EC2D90" w:rsidRPr="00D64E6A">
        <w:t xml:space="preserve">Estado de México, </w:t>
      </w:r>
      <w:r w:rsidR="006B4B77" w:rsidRPr="00D64E6A">
        <w:t xml:space="preserve">en virtud de considerar que dicha decisión resulta desproporcionada. En respuesta a lo anterior, el Comité aprobó el Acuerdo INE/ACRT/09/2016, mediante el cual se determinó, básicamente, que de no incluir en el catálogo a aquellas emisoras que se ven y escuchan en el municipio de Chiautla para que suspendan propaganda gubernamental, las mismas incurrirían en incumplimiento a preceptos </w:t>
      </w:r>
      <w:r w:rsidR="008C3945" w:rsidRPr="00D64E6A">
        <w:t>previstos por la Constitución federal.</w:t>
      </w:r>
    </w:p>
    <w:p w14:paraId="2C1B8D06" w14:textId="77777777" w:rsidR="00B9741D" w:rsidRPr="00D64E6A" w:rsidRDefault="00B9741D" w:rsidP="004D6980">
      <w:pPr>
        <w:rPr>
          <w:sz w:val="10"/>
          <w:szCs w:val="10"/>
        </w:rPr>
      </w:pPr>
    </w:p>
    <w:p w14:paraId="2C1B8D07" w14:textId="77777777" w:rsidR="00B9741D" w:rsidRPr="00D64E6A" w:rsidRDefault="008C1136" w:rsidP="00DF23FA">
      <w:pPr>
        <w:pStyle w:val="Ttulo2"/>
        <w:spacing w:line="260" w:lineRule="exact"/>
        <w:ind w:left="709" w:hanging="709"/>
      </w:pPr>
      <w:bookmarkStart w:id="18" w:name="_Toc460517114"/>
      <w:r w:rsidRPr="00D64E6A">
        <w:rPr>
          <w:lang w:val="es-MX"/>
        </w:rPr>
        <w:t>II.7.</w:t>
      </w:r>
      <w:r w:rsidR="00B9741D" w:rsidRPr="00D64E6A">
        <w:tab/>
        <w:t>ANÁLISIS DE LA COBERTURA DE LOS PROCESOS ELECTORALES DE 2014-2015</w:t>
      </w:r>
      <w:bookmarkEnd w:id="18"/>
    </w:p>
    <w:p w14:paraId="2C1B8D08" w14:textId="77777777" w:rsidR="00B9741D" w:rsidRPr="00D64E6A" w:rsidRDefault="00B9741D" w:rsidP="00AE645A">
      <w:pPr>
        <w:rPr>
          <w:szCs w:val="24"/>
        </w:rPr>
      </w:pPr>
    </w:p>
    <w:p w14:paraId="2C1B8D09" w14:textId="77777777" w:rsidR="00BE04F5" w:rsidRPr="00D64E6A" w:rsidRDefault="00B9741D" w:rsidP="00AE645A">
      <w:pPr>
        <w:rPr>
          <w:szCs w:val="24"/>
        </w:rPr>
      </w:pPr>
      <w:r w:rsidRPr="00D64E6A">
        <w:rPr>
          <w:szCs w:val="24"/>
        </w:rPr>
        <w:t xml:space="preserve">El Plan de Trabajo Anual 2016 previó la realización de un espacio de análisis sobre la cobertura del Proceso Electoral Federal 2014-2015, incluyendo los resultados del monitoreo de espaciosos noticiosos que llevó a cabo el Instituto Nacional Electoral. </w:t>
      </w:r>
    </w:p>
    <w:p w14:paraId="2C1B8D0A" w14:textId="77777777" w:rsidR="00BE04F5" w:rsidRPr="00D64E6A" w:rsidRDefault="00BE04F5" w:rsidP="00AE645A">
      <w:pPr>
        <w:rPr>
          <w:szCs w:val="24"/>
        </w:rPr>
      </w:pPr>
    </w:p>
    <w:p w14:paraId="2C1B8D0B" w14:textId="77777777" w:rsidR="00B9741D" w:rsidRPr="00D64E6A" w:rsidRDefault="00B9741D" w:rsidP="00AE645A">
      <w:pPr>
        <w:rPr>
          <w:szCs w:val="24"/>
        </w:rPr>
      </w:pPr>
      <w:r w:rsidRPr="00D64E6A">
        <w:rPr>
          <w:szCs w:val="24"/>
        </w:rPr>
        <w:t xml:space="preserve">En tal sentido, </w:t>
      </w:r>
      <w:r w:rsidR="00BE04F5" w:rsidRPr="00D64E6A">
        <w:rPr>
          <w:szCs w:val="24"/>
        </w:rPr>
        <w:t>los integrantes del Comité y la Secretaría Técnica trabajaron en la conformación de la agenda de temas y definieron las circunstancias de formato, sede, y fechas para</w:t>
      </w:r>
      <w:r w:rsidRPr="00D64E6A">
        <w:rPr>
          <w:szCs w:val="24"/>
        </w:rPr>
        <w:t xml:space="preserve"> realizar</w:t>
      </w:r>
      <w:r w:rsidR="00BE04F5" w:rsidRPr="00D64E6A">
        <w:rPr>
          <w:szCs w:val="24"/>
        </w:rPr>
        <w:t xml:space="preserve"> dicho espacio de análisis</w:t>
      </w:r>
      <w:r w:rsidRPr="00D64E6A">
        <w:rPr>
          <w:szCs w:val="24"/>
        </w:rPr>
        <w:t>.</w:t>
      </w:r>
    </w:p>
    <w:p w14:paraId="2C1B8D0C" w14:textId="77777777" w:rsidR="00B9741D" w:rsidRPr="00D64E6A" w:rsidRDefault="00B9741D" w:rsidP="00AE645A">
      <w:pPr>
        <w:rPr>
          <w:szCs w:val="24"/>
        </w:rPr>
      </w:pPr>
    </w:p>
    <w:p w14:paraId="2C1B8D0D" w14:textId="77777777" w:rsidR="00B9741D" w:rsidRPr="00D64E6A" w:rsidRDefault="00BE04F5" w:rsidP="00AE645A">
      <w:pPr>
        <w:rPr>
          <w:szCs w:val="24"/>
        </w:rPr>
      </w:pPr>
      <w:r w:rsidRPr="00D64E6A">
        <w:rPr>
          <w:szCs w:val="24"/>
        </w:rPr>
        <w:t>Fruto de tal labor, fue la realización del Foro “La cobertura de los Procesos Electorales en la Radio y la Televisión. Lecciones, resultados y perspectivas desde la experiencia del monitoreo de espacios noticiosos durante los Procesos Electorales 2015 y 2016”</w:t>
      </w:r>
    </w:p>
    <w:p w14:paraId="2C1B8D0E" w14:textId="77777777" w:rsidR="00BE04F5" w:rsidRPr="00D64E6A" w:rsidRDefault="00BE04F5" w:rsidP="00AE645A">
      <w:pPr>
        <w:rPr>
          <w:szCs w:val="24"/>
        </w:rPr>
      </w:pPr>
    </w:p>
    <w:p w14:paraId="2C1B8D0F" w14:textId="77777777" w:rsidR="00B30D99" w:rsidRPr="00D64E6A" w:rsidRDefault="00BE04F5" w:rsidP="00AE645A">
      <w:pPr>
        <w:rPr>
          <w:szCs w:val="24"/>
        </w:rPr>
      </w:pPr>
      <w:r w:rsidRPr="00D64E6A">
        <w:rPr>
          <w:szCs w:val="24"/>
        </w:rPr>
        <w:t xml:space="preserve">Este foro se realizó del 15 al 16 de agosto del 2016. </w:t>
      </w:r>
      <w:r w:rsidR="00B30D99" w:rsidRPr="00D64E6A">
        <w:rPr>
          <w:szCs w:val="24"/>
        </w:rPr>
        <w:t>Tuvo como objetivos analizar los resultados del monitoreo de los espacios y programas noticiosos, realizado durante los procesos electorales 2015 y 2016, y reconocer las experiencias y lecciones aprendidas; advirtiendo sus principales retos y perspectivas para los próximos procesos electorales.</w:t>
      </w:r>
    </w:p>
    <w:p w14:paraId="2C1B8D10" w14:textId="77777777" w:rsidR="00B30D99" w:rsidRPr="00D64E6A" w:rsidRDefault="00B30D99" w:rsidP="00AE645A">
      <w:pPr>
        <w:rPr>
          <w:szCs w:val="24"/>
        </w:rPr>
      </w:pPr>
    </w:p>
    <w:p w14:paraId="2C1B8D11" w14:textId="77777777" w:rsidR="00B30D99" w:rsidRPr="00D64E6A" w:rsidRDefault="00B30D99" w:rsidP="00AE645A">
      <w:pPr>
        <w:rPr>
          <w:szCs w:val="24"/>
        </w:rPr>
      </w:pPr>
      <w:r w:rsidRPr="00D64E6A">
        <w:rPr>
          <w:szCs w:val="24"/>
        </w:rPr>
        <w:t xml:space="preserve">El foro fue realizado a través de la impartición de una conferencia magistral y la organización de </w:t>
      </w:r>
      <w:r w:rsidR="00625318" w:rsidRPr="00D64E6A">
        <w:rPr>
          <w:szCs w:val="24"/>
        </w:rPr>
        <w:t>seis</w:t>
      </w:r>
      <w:r w:rsidRPr="00D64E6A">
        <w:rPr>
          <w:szCs w:val="24"/>
        </w:rPr>
        <w:t xml:space="preserve"> mesas de trabajo en las que múltiples actores</w:t>
      </w:r>
      <w:r w:rsidR="00625318" w:rsidRPr="00D64E6A">
        <w:rPr>
          <w:szCs w:val="24"/>
        </w:rPr>
        <w:t xml:space="preserve"> </w:t>
      </w:r>
      <w:r w:rsidRPr="00D64E6A">
        <w:rPr>
          <w:szCs w:val="24"/>
        </w:rPr>
        <w:t xml:space="preserve">de los ámbitos de la academia, </w:t>
      </w:r>
      <w:r w:rsidR="00625318" w:rsidRPr="00D64E6A">
        <w:rPr>
          <w:szCs w:val="24"/>
        </w:rPr>
        <w:t xml:space="preserve">los partidos políticos </w:t>
      </w:r>
      <w:r w:rsidRPr="00D64E6A">
        <w:rPr>
          <w:szCs w:val="24"/>
        </w:rPr>
        <w:t>y la administración electoral expusieron</w:t>
      </w:r>
      <w:r w:rsidR="00625318" w:rsidRPr="00D64E6A">
        <w:rPr>
          <w:szCs w:val="24"/>
        </w:rPr>
        <w:t xml:space="preserve"> </w:t>
      </w:r>
      <w:r w:rsidRPr="00D64E6A">
        <w:rPr>
          <w:szCs w:val="24"/>
        </w:rPr>
        <w:t xml:space="preserve">ideas y </w:t>
      </w:r>
      <w:r w:rsidR="00625318" w:rsidRPr="00D64E6A">
        <w:rPr>
          <w:szCs w:val="24"/>
        </w:rPr>
        <w:t>posturas</w:t>
      </w:r>
      <w:r w:rsidRPr="00D64E6A">
        <w:rPr>
          <w:szCs w:val="24"/>
        </w:rPr>
        <w:t xml:space="preserve"> </w:t>
      </w:r>
      <w:r w:rsidR="00625318" w:rsidRPr="00D64E6A">
        <w:rPr>
          <w:szCs w:val="24"/>
        </w:rPr>
        <w:t>vinculadas con los objetivos del encuentro.</w:t>
      </w:r>
    </w:p>
    <w:p w14:paraId="2C1B8D12" w14:textId="77777777" w:rsidR="00625318" w:rsidRPr="00D64E6A" w:rsidRDefault="00625318" w:rsidP="00AE645A">
      <w:pPr>
        <w:rPr>
          <w:szCs w:val="24"/>
        </w:rPr>
      </w:pPr>
    </w:p>
    <w:p w14:paraId="2C1B8D13" w14:textId="77777777" w:rsidR="00B30D99" w:rsidRPr="00D64E6A" w:rsidRDefault="00625318" w:rsidP="00AE645A">
      <w:pPr>
        <w:rPr>
          <w:szCs w:val="24"/>
        </w:rPr>
      </w:pPr>
      <w:r w:rsidRPr="00D64E6A">
        <w:rPr>
          <w:szCs w:val="24"/>
        </w:rPr>
        <w:t xml:space="preserve">Los videos de las ponencias junto a la información de cada mesa y las presentaciones </w:t>
      </w:r>
      <w:r w:rsidR="00B30D99" w:rsidRPr="00D64E6A">
        <w:rPr>
          <w:szCs w:val="24"/>
        </w:rPr>
        <w:t>se encuentran disponibles para su consulta en la página de internet</w:t>
      </w:r>
      <w:r w:rsidRPr="00D64E6A">
        <w:rPr>
          <w:szCs w:val="24"/>
        </w:rPr>
        <w:t xml:space="preserve"> del Instituto, cuya liga electrónica es http://www.ine.mx/portal/ActoresPoliticos/Administracion_de_tiempos_del_Estado/Comite_de_Radio_y_Television/Foros/</w:t>
      </w:r>
    </w:p>
    <w:p w14:paraId="2C1B8D14" w14:textId="77777777" w:rsidR="00B30D99" w:rsidRPr="00D64E6A" w:rsidRDefault="00B30D99" w:rsidP="00AE645A">
      <w:pPr>
        <w:rPr>
          <w:szCs w:val="24"/>
        </w:rPr>
      </w:pPr>
    </w:p>
    <w:p w14:paraId="2C1B8D15" w14:textId="77777777" w:rsidR="00456C8B" w:rsidRPr="00D64E6A" w:rsidRDefault="00783CDA" w:rsidP="00DF23FA">
      <w:pPr>
        <w:pStyle w:val="Ttulo1"/>
        <w:spacing w:line="260" w:lineRule="exact"/>
      </w:pPr>
      <w:bookmarkStart w:id="19" w:name="_Toc460517115"/>
      <w:r w:rsidRPr="00D64E6A">
        <w:t xml:space="preserve">III. </w:t>
      </w:r>
      <w:r w:rsidR="00FE644C" w:rsidRPr="00D64E6A">
        <w:t>OTRAS ACTIVIDADES</w:t>
      </w:r>
      <w:bookmarkEnd w:id="19"/>
    </w:p>
    <w:p w14:paraId="2C1B8D16" w14:textId="77777777" w:rsidR="00456C8B" w:rsidRPr="00D64E6A" w:rsidRDefault="00734352" w:rsidP="00DF23FA">
      <w:pPr>
        <w:pStyle w:val="Ttulo2"/>
        <w:spacing w:line="260" w:lineRule="exact"/>
      </w:pPr>
      <w:bookmarkStart w:id="20" w:name="_Toc460517116"/>
      <w:r w:rsidRPr="00D64E6A">
        <w:rPr>
          <w:lang w:val="es-MX"/>
        </w:rPr>
        <w:t>III.</w:t>
      </w:r>
      <w:r w:rsidR="00783CDA" w:rsidRPr="00D64E6A">
        <w:rPr>
          <w:lang w:val="es-MX"/>
        </w:rPr>
        <w:t>1.</w:t>
      </w:r>
      <w:r w:rsidR="00783CDA" w:rsidRPr="00D64E6A">
        <w:rPr>
          <w:lang w:val="es-MX"/>
        </w:rPr>
        <w:tab/>
      </w:r>
      <w:r w:rsidR="00456C8B" w:rsidRPr="00D64E6A">
        <w:t>Televisión restringida</w:t>
      </w:r>
      <w:bookmarkEnd w:id="20"/>
    </w:p>
    <w:p w14:paraId="2C1B8D17" w14:textId="77777777" w:rsidR="00456C8B" w:rsidRPr="00D64E6A" w:rsidRDefault="00734352" w:rsidP="00DF23FA">
      <w:pPr>
        <w:pStyle w:val="Ttulo2"/>
        <w:spacing w:line="260" w:lineRule="exact"/>
      </w:pPr>
      <w:bookmarkStart w:id="21" w:name="_Toc460517117"/>
      <w:r w:rsidRPr="00D64E6A">
        <w:rPr>
          <w:lang w:val="es-MX"/>
        </w:rPr>
        <w:t>III.1.</w:t>
      </w:r>
      <w:r w:rsidR="007E3EBE" w:rsidRPr="00D64E6A">
        <w:t>1.</w:t>
      </w:r>
      <w:r w:rsidR="007E3EBE" w:rsidRPr="00D64E6A">
        <w:tab/>
      </w:r>
      <w:r w:rsidR="00456C8B" w:rsidRPr="00D64E6A">
        <w:t>Pautas</w:t>
      </w:r>
      <w:r w:rsidR="0090273A" w:rsidRPr="00D64E6A">
        <w:t xml:space="preserve"> de televisión restringida</w:t>
      </w:r>
      <w:bookmarkEnd w:id="21"/>
    </w:p>
    <w:p w14:paraId="2C1B8D18" w14:textId="77777777" w:rsidR="00456C8B" w:rsidRPr="00D64E6A" w:rsidRDefault="00456C8B" w:rsidP="00AE645A">
      <w:pPr>
        <w:pStyle w:val="Prrafodelista"/>
        <w:ind w:left="567" w:hanging="567"/>
        <w:rPr>
          <w:rFonts w:ascii="Arial" w:hAnsi="Arial" w:cs="Arial"/>
          <w:sz w:val="24"/>
          <w:szCs w:val="24"/>
        </w:rPr>
      </w:pPr>
    </w:p>
    <w:p w14:paraId="2C1B8D19" w14:textId="77777777" w:rsidR="004423E5" w:rsidRPr="00D64E6A" w:rsidRDefault="00856218" w:rsidP="00AE645A">
      <w:pPr>
        <w:rPr>
          <w:szCs w:val="24"/>
        </w:rPr>
      </w:pPr>
      <w:r w:rsidRPr="00D64E6A">
        <w:rPr>
          <w:rFonts w:cs="Arial"/>
          <w:szCs w:val="24"/>
          <w:lang w:val="es-ES"/>
        </w:rPr>
        <w:t>Derivado de los acuerdos INE/CG119 y 211/2015, que precisaron la forma en que se retransmitirían las señales de televisión radiodifundida en los sistemas de televisión restringida satelital para el Proceso Electoral Federal 2015, el Consejo General ordenó al Comité “</w:t>
      </w:r>
      <w:r w:rsidR="004423E5" w:rsidRPr="00D64E6A">
        <w:rPr>
          <w:szCs w:val="24"/>
        </w:rPr>
        <w:t>que, una vez concluido el Proceso Electoral</w:t>
      </w:r>
      <w:r w:rsidRPr="00D64E6A">
        <w:rPr>
          <w:szCs w:val="24"/>
        </w:rPr>
        <w:t xml:space="preserve"> [2014-2015]</w:t>
      </w:r>
      <w:r w:rsidR="004423E5" w:rsidRPr="00D64E6A">
        <w:rPr>
          <w:szCs w:val="24"/>
        </w:rPr>
        <w:t>, elabore un estudio a fin de encontrar mecanismos técnicos permanentes que garanticen la transmisión del pautado federal en los Procesos Electorales Federales subsiguientes</w:t>
      </w:r>
      <w:r w:rsidRPr="00D64E6A">
        <w:rPr>
          <w:szCs w:val="24"/>
        </w:rPr>
        <w:t>”</w:t>
      </w:r>
      <w:r w:rsidR="0086436B" w:rsidRPr="00D64E6A">
        <w:rPr>
          <w:rStyle w:val="Refdenotaalpie"/>
          <w:szCs w:val="24"/>
        </w:rPr>
        <w:footnoteReference w:id="8"/>
      </w:r>
      <w:r w:rsidR="004423E5" w:rsidRPr="00D64E6A">
        <w:rPr>
          <w:szCs w:val="24"/>
        </w:rPr>
        <w:t>.</w:t>
      </w:r>
    </w:p>
    <w:p w14:paraId="2C1B8D1A" w14:textId="77777777" w:rsidR="007E3877" w:rsidRPr="00D64E6A" w:rsidRDefault="007E3877" w:rsidP="00AE645A">
      <w:pPr>
        <w:rPr>
          <w:szCs w:val="24"/>
        </w:rPr>
      </w:pPr>
    </w:p>
    <w:p w14:paraId="2C1B8D1B" w14:textId="77777777" w:rsidR="00325903" w:rsidRPr="00D64E6A" w:rsidRDefault="00325903" w:rsidP="00AE645A">
      <w:pPr>
        <w:rPr>
          <w:szCs w:val="24"/>
        </w:rPr>
      </w:pPr>
      <w:r w:rsidRPr="00D64E6A">
        <w:rPr>
          <w:szCs w:val="24"/>
        </w:rPr>
        <w:t xml:space="preserve">En virtud del Proceso Electoral para la elección de 60 Diputados para integrar la Asamblea Constituyente de la Ciudad de México en 2016, se </w:t>
      </w:r>
      <w:r w:rsidR="00300FB3" w:rsidRPr="00D64E6A">
        <w:rPr>
          <w:szCs w:val="24"/>
        </w:rPr>
        <w:t>implementó</w:t>
      </w:r>
      <w:r w:rsidRPr="00D64E6A">
        <w:rPr>
          <w:szCs w:val="24"/>
        </w:rPr>
        <w:t xml:space="preserve"> una nueva medida consistente en generar escenarios para que los concesionarios de televisión restringida satelital cumplieran con las disposiciones en materia electoral. Estos escenarios fueron aprobados en marzo de 2016 mediante el Acuerdo INE/ACRT/16/2016.</w:t>
      </w:r>
    </w:p>
    <w:p w14:paraId="2C1B8D1C" w14:textId="77777777" w:rsidR="00325903" w:rsidRPr="00D64E6A" w:rsidRDefault="00325903" w:rsidP="00AE645A">
      <w:pPr>
        <w:rPr>
          <w:szCs w:val="24"/>
        </w:rPr>
      </w:pPr>
    </w:p>
    <w:p w14:paraId="2C1B8D1D" w14:textId="77777777" w:rsidR="007E3877" w:rsidRPr="00D64E6A" w:rsidRDefault="0086436B" w:rsidP="00AE645A">
      <w:pPr>
        <w:rPr>
          <w:szCs w:val="24"/>
        </w:rPr>
      </w:pPr>
      <w:r w:rsidRPr="00D64E6A">
        <w:rPr>
          <w:szCs w:val="24"/>
        </w:rPr>
        <w:t>De acuerdo con el mandato del Consejo General,</w:t>
      </w:r>
      <w:r w:rsidR="00325903" w:rsidRPr="00D64E6A">
        <w:rPr>
          <w:szCs w:val="24"/>
        </w:rPr>
        <w:t xml:space="preserve"> </w:t>
      </w:r>
      <w:r w:rsidR="00300FB3" w:rsidRPr="00D64E6A">
        <w:rPr>
          <w:szCs w:val="24"/>
        </w:rPr>
        <w:t xml:space="preserve">y conforme al Plan de Trabajo </w:t>
      </w:r>
      <w:r w:rsidR="003C1225" w:rsidRPr="00D64E6A">
        <w:rPr>
          <w:szCs w:val="24"/>
        </w:rPr>
        <w:t xml:space="preserve">Anual </w:t>
      </w:r>
      <w:r w:rsidR="00300FB3" w:rsidRPr="00D64E6A">
        <w:rPr>
          <w:szCs w:val="24"/>
        </w:rPr>
        <w:t xml:space="preserve">2016, </w:t>
      </w:r>
      <w:r w:rsidRPr="00D64E6A">
        <w:rPr>
          <w:szCs w:val="24"/>
        </w:rPr>
        <w:t xml:space="preserve">durante los próximos meses </w:t>
      </w:r>
      <w:r w:rsidR="00325903" w:rsidRPr="00D64E6A">
        <w:rPr>
          <w:szCs w:val="24"/>
        </w:rPr>
        <w:t xml:space="preserve">el </w:t>
      </w:r>
      <w:r w:rsidR="00DB265C" w:rsidRPr="00D64E6A">
        <w:rPr>
          <w:szCs w:val="24"/>
        </w:rPr>
        <w:t xml:space="preserve">Comité enfocará </w:t>
      </w:r>
      <w:r w:rsidR="00325903" w:rsidRPr="00D64E6A">
        <w:rPr>
          <w:szCs w:val="24"/>
        </w:rPr>
        <w:t xml:space="preserve">su actividad </w:t>
      </w:r>
      <w:r w:rsidRPr="00D64E6A">
        <w:rPr>
          <w:szCs w:val="24"/>
        </w:rPr>
        <w:t>en la elaboración del proyecto para la emisión de dichos mecanismos técnicos permanentes</w:t>
      </w:r>
      <w:r w:rsidR="00DB265C" w:rsidRPr="00D64E6A">
        <w:rPr>
          <w:szCs w:val="24"/>
        </w:rPr>
        <w:t>.</w:t>
      </w:r>
    </w:p>
    <w:p w14:paraId="2C1B8D1E" w14:textId="77777777" w:rsidR="007E3877" w:rsidRPr="00D64E6A" w:rsidRDefault="007E3877" w:rsidP="00AE645A">
      <w:pPr>
        <w:rPr>
          <w:szCs w:val="24"/>
        </w:rPr>
      </w:pPr>
    </w:p>
    <w:p w14:paraId="2C1B8D1F" w14:textId="77777777" w:rsidR="0090273A" w:rsidRPr="00D64E6A" w:rsidRDefault="00734352" w:rsidP="00AF5A95">
      <w:pPr>
        <w:pStyle w:val="Ttulo2"/>
        <w:spacing w:line="300" w:lineRule="exact"/>
      </w:pPr>
      <w:bookmarkStart w:id="22" w:name="_Toc460517118"/>
      <w:r w:rsidRPr="00D64E6A">
        <w:rPr>
          <w:lang w:val="es-MX"/>
        </w:rPr>
        <w:t>III.1.2</w:t>
      </w:r>
      <w:r w:rsidR="00783CDA" w:rsidRPr="00D64E6A">
        <w:tab/>
      </w:r>
      <w:r w:rsidR="0090273A" w:rsidRPr="00D64E6A">
        <w:t>Monitoreo de televisión restringida</w:t>
      </w:r>
      <w:bookmarkEnd w:id="22"/>
    </w:p>
    <w:p w14:paraId="2C1B8D20" w14:textId="77777777" w:rsidR="0090273A" w:rsidRPr="00D64E6A" w:rsidRDefault="0090273A" w:rsidP="00AF5A95">
      <w:pPr>
        <w:spacing w:line="300" w:lineRule="exact"/>
      </w:pPr>
    </w:p>
    <w:p w14:paraId="2C1B8D21" w14:textId="77777777" w:rsidR="000C63F2" w:rsidRPr="00D64E6A" w:rsidRDefault="00895350" w:rsidP="00AE645A">
      <w:pPr>
        <w:pStyle w:val="Prrafodelista"/>
        <w:ind w:left="0"/>
        <w:rPr>
          <w:rFonts w:ascii="Arial" w:hAnsi="Arial" w:cs="Arial"/>
          <w:sz w:val="24"/>
          <w:szCs w:val="24"/>
        </w:rPr>
      </w:pPr>
      <w:r w:rsidRPr="00D64E6A">
        <w:rPr>
          <w:rFonts w:ascii="Arial" w:hAnsi="Arial" w:cs="Arial"/>
          <w:sz w:val="24"/>
          <w:szCs w:val="24"/>
        </w:rPr>
        <w:t>En términos del</w:t>
      </w:r>
      <w:r w:rsidR="0090273A" w:rsidRPr="00D64E6A">
        <w:rPr>
          <w:rFonts w:ascii="Arial" w:hAnsi="Arial" w:cs="Arial"/>
          <w:sz w:val="24"/>
          <w:szCs w:val="24"/>
        </w:rPr>
        <w:t xml:space="preserve"> Acuerdo INE/ACRT/01/2015, “por el que se determina el alcance y modalidad de monitoreo que establece el inciso o), numeral 2 del artículo 6 del Reglamento de Radio y Televisión en Materia Electoral”</w:t>
      </w:r>
      <w:r w:rsidR="000C63F2" w:rsidRPr="00D64E6A">
        <w:rPr>
          <w:rFonts w:ascii="Arial" w:hAnsi="Arial" w:cs="Arial"/>
          <w:sz w:val="24"/>
          <w:szCs w:val="24"/>
        </w:rPr>
        <w:t>, la Dirección Ejecutiva de Prerrogativas y Partidos Políticos presentó su Primer Reporte de Monitoreo para verificar el cumplimiento de la pauta electoral en señales radiodifundidas que son retransmitidas por concesionarios de televisión restringida, tanto satelital como terrenal, a partir del inicio de la Precampaña Federal, de conformidad con el Acuerdo INE/ACRT/01/2015.</w:t>
      </w:r>
    </w:p>
    <w:p w14:paraId="2C1B8D22" w14:textId="77777777" w:rsidR="000C63F2" w:rsidRPr="00D64E6A" w:rsidRDefault="000C63F2" w:rsidP="00AE645A"/>
    <w:p w14:paraId="2C1B8D23" w14:textId="77777777" w:rsidR="00AE6E37" w:rsidRPr="00D64E6A" w:rsidRDefault="000C63F2" w:rsidP="00AE645A">
      <w:r w:rsidRPr="00D64E6A">
        <w:t xml:space="preserve">Conforme a lo anterior, la Dirección Ejecutiva de Prerrogativas y Partidos Políticos presentó durante 2015 </w:t>
      </w:r>
      <w:r w:rsidR="006732C1" w:rsidRPr="00D64E6A">
        <w:t>11</w:t>
      </w:r>
      <w:r w:rsidRPr="00D64E6A">
        <w:t xml:space="preserve"> informes de televisión restringida</w:t>
      </w:r>
      <w:r w:rsidR="00902650" w:rsidRPr="00D64E6A">
        <w:t>, mientras que de enero a agosto de 2016 ha presentado al Comité 8 informes</w:t>
      </w:r>
      <w:r w:rsidR="00300FB3" w:rsidRPr="00D64E6A">
        <w:t xml:space="preserve"> con una periodicidad mensual</w:t>
      </w:r>
      <w:r w:rsidRPr="00D64E6A">
        <w:t>.</w:t>
      </w:r>
    </w:p>
    <w:p w14:paraId="2C1B8D24" w14:textId="77777777" w:rsidR="001F25EE" w:rsidRPr="00D64E6A" w:rsidRDefault="001F25EE" w:rsidP="00AE645A"/>
    <w:p w14:paraId="2C1B8D25" w14:textId="77777777" w:rsidR="001F25EE" w:rsidRPr="00D64E6A" w:rsidRDefault="001F25EE" w:rsidP="00AE645A">
      <w:r w:rsidRPr="00D64E6A">
        <w:t xml:space="preserve">Es de resaltar que en la Quinta Sesión Ordinaria de 2016, celebrada el 26 de mayo, </w:t>
      </w:r>
      <w:r w:rsidR="00DE2FD3" w:rsidRPr="00D64E6A">
        <w:t xml:space="preserve">y </w:t>
      </w:r>
      <w:r w:rsidRPr="00D64E6A">
        <w:t xml:space="preserve">en cumplimiento al compromiso generado </w:t>
      </w:r>
      <w:r w:rsidR="00DE2FD3" w:rsidRPr="00D64E6A">
        <w:t xml:space="preserve">en la sesión anterior, </w:t>
      </w:r>
      <w:r w:rsidRPr="00D64E6A">
        <w:t>l</w:t>
      </w:r>
      <w:r w:rsidR="00DE2FD3" w:rsidRPr="00D64E6A">
        <w:t>a Secretaría Técnica presentó</w:t>
      </w:r>
      <w:r w:rsidRPr="00D64E6A">
        <w:t xml:space="preserve"> </w:t>
      </w:r>
      <w:r w:rsidR="00DE2FD3" w:rsidRPr="00D64E6A">
        <w:t xml:space="preserve">una </w:t>
      </w:r>
      <w:r w:rsidRPr="00D64E6A">
        <w:t>nota informativa respecto de los mecanismos que se implementaron como parte de la actualización de los criterios para identificar las omisiones ante los problemas de captación de señales digitales.</w:t>
      </w:r>
    </w:p>
    <w:p w14:paraId="2C1B8D26" w14:textId="77777777" w:rsidR="00E32CD1" w:rsidRPr="00D64E6A" w:rsidRDefault="00E32CD1" w:rsidP="00AE645A"/>
    <w:p w14:paraId="2C1B8D27" w14:textId="77777777" w:rsidR="0090273A" w:rsidRPr="00D64E6A" w:rsidRDefault="00734352" w:rsidP="00AF5A95">
      <w:pPr>
        <w:pStyle w:val="Ttulo2"/>
        <w:spacing w:line="300" w:lineRule="exact"/>
      </w:pPr>
      <w:bookmarkStart w:id="23" w:name="_Toc460517119"/>
      <w:r w:rsidRPr="00D64E6A">
        <w:rPr>
          <w:lang w:val="es-MX"/>
        </w:rPr>
        <w:t>III.1.</w:t>
      </w:r>
      <w:r w:rsidR="00693165" w:rsidRPr="00D64E6A">
        <w:t>3.</w:t>
      </w:r>
      <w:r w:rsidR="00693165" w:rsidRPr="00D64E6A">
        <w:tab/>
      </w:r>
      <w:r w:rsidR="0090273A" w:rsidRPr="00D64E6A">
        <w:t>Requerimientos a concesionarios de televisión restringida</w:t>
      </w:r>
      <w:bookmarkEnd w:id="23"/>
    </w:p>
    <w:p w14:paraId="2C1B8D28" w14:textId="77777777" w:rsidR="00A315AF" w:rsidRPr="00D64E6A" w:rsidRDefault="00A315AF" w:rsidP="00AF5A95">
      <w:pPr>
        <w:spacing w:line="300" w:lineRule="exact"/>
      </w:pPr>
    </w:p>
    <w:p w14:paraId="2C1B8D29" w14:textId="77777777" w:rsidR="00D45BEA" w:rsidRPr="00D64E6A" w:rsidRDefault="000C63F2" w:rsidP="00AE645A">
      <w:pPr>
        <w:pStyle w:val="Prrafodelista"/>
        <w:ind w:left="0"/>
        <w:rPr>
          <w:rFonts w:ascii="Arial" w:hAnsi="Arial" w:cs="Arial"/>
          <w:sz w:val="24"/>
          <w:szCs w:val="24"/>
        </w:rPr>
      </w:pPr>
      <w:r w:rsidRPr="00D64E6A">
        <w:rPr>
          <w:rFonts w:ascii="Arial" w:hAnsi="Arial" w:cs="Arial"/>
          <w:sz w:val="24"/>
          <w:szCs w:val="24"/>
        </w:rPr>
        <w:t>L</w:t>
      </w:r>
      <w:r w:rsidR="00322668" w:rsidRPr="00D64E6A">
        <w:rPr>
          <w:rFonts w:ascii="Arial" w:hAnsi="Arial" w:cs="Arial"/>
          <w:sz w:val="24"/>
          <w:szCs w:val="24"/>
        </w:rPr>
        <w:t>a implementaci</w:t>
      </w:r>
      <w:r w:rsidRPr="00D64E6A">
        <w:rPr>
          <w:rFonts w:ascii="Arial" w:hAnsi="Arial" w:cs="Arial"/>
          <w:sz w:val="24"/>
          <w:szCs w:val="24"/>
        </w:rPr>
        <w:t xml:space="preserve">ón </w:t>
      </w:r>
      <w:r w:rsidR="00CC36ED" w:rsidRPr="00D64E6A">
        <w:rPr>
          <w:rFonts w:ascii="Arial" w:hAnsi="Arial" w:cs="Arial"/>
          <w:sz w:val="24"/>
          <w:szCs w:val="24"/>
        </w:rPr>
        <w:t>de pautados</w:t>
      </w:r>
      <w:r w:rsidRPr="00D64E6A">
        <w:rPr>
          <w:rFonts w:ascii="Arial" w:hAnsi="Arial" w:cs="Arial"/>
          <w:sz w:val="24"/>
          <w:szCs w:val="24"/>
        </w:rPr>
        <w:t xml:space="preserve"> en el ámbito de la t</w:t>
      </w:r>
      <w:r w:rsidR="006C1EA6" w:rsidRPr="00D64E6A">
        <w:rPr>
          <w:rFonts w:ascii="Arial" w:hAnsi="Arial" w:cs="Arial"/>
          <w:sz w:val="24"/>
          <w:szCs w:val="24"/>
        </w:rPr>
        <w:t>elevisión</w:t>
      </w:r>
      <w:r w:rsidRPr="00D64E6A">
        <w:rPr>
          <w:rFonts w:ascii="Arial" w:hAnsi="Arial" w:cs="Arial"/>
          <w:sz w:val="24"/>
          <w:szCs w:val="24"/>
        </w:rPr>
        <w:t xml:space="preserve"> restringida</w:t>
      </w:r>
      <w:r w:rsidR="006C1EA6" w:rsidRPr="00D64E6A">
        <w:rPr>
          <w:rFonts w:ascii="Arial" w:hAnsi="Arial" w:cs="Arial"/>
          <w:sz w:val="24"/>
          <w:szCs w:val="24"/>
        </w:rPr>
        <w:t xml:space="preserve"> terrestre</w:t>
      </w:r>
      <w:r w:rsidR="00CC36ED" w:rsidRPr="00D64E6A">
        <w:rPr>
          <w:rFonts w:ascii="Arial" w:hAnsi="Arial" w:cs="Arial"/>
          <w:sz w:val="24"/>
          <w:szCs w:val="24"/>
        </w:rPr>
        <w:t xml:space="preserve"> demandó </w:t>
      </w:r>
      <w:r w:rsidRPr="00D64E6A">
        <w:rPr>
          <w:rFonts w:ascii="Arial" w:hAnsi="Arial" w:cs="Arial"/>
          <w:sz w:val="24"/>
          <w:szCs w:val="24"/>
        </w:rPr>
        <w:t xml:space="preserve">una </w:t>
      </w:r>
      <w:r w:rsidR="00D1153A" w:rsidRPr="00D64E6A">
        <w:rPr>
          <w:rFonts w:ascii="Arial" w:hAnsi="Arial" w:cs="Arial"/>
          <w:sz w:val="24"/>
          <w:szCs w:val="24"/>
        </w:rPr>
        <w:t>continua</w:t>
      </w:r>
      <w:r w:rsidRPr="00D64E6A">
        <w:rPr>
          <w:rFonts w:ascii="Arial" w:hAnsi="Arial" w:cs="Arial"/>
          <w:sz w:val="24"/>
          <w:szCs w:val="24"/>
        </w:rPr>
        <w:t xml:space="preserve"> labor de control en la observancia de la normatividad aplicable</w:t>
      </w:r>
      <w:r w:rsidR="00765B75" w:rsidRPr="00D64E6A">
        <w:rPr>
          <w:rFonts w:ascii="Arial" w:hAnsi="Arial" w:cs="Arial"/>
          <w:sz w:val="24"/>
          <w:szCs w:val="24"/>
        </w:rPr>
        <w:t>, con la finalidad de garantizar a partidos políticos, candidatos independientes y autoridades electorales el ejercicio de sus prerrogativas constitucionales.</w:t>
      </w:r>
    </w:p>
    <w:p w14:paraId="2C1B8D2A" w14:textId="77777777" w:rsidR="000C63F2" w:rsidRPr="00D64E6A" w:rsidRDefault="000C63F2" w:rsidP="00AE645A">
      <w:pPr>
        <w:pStyle w:val="Prrafodelista"/>
        <w:ind w:left="0"/>
        <w:rPr>
          <w:rFonts w:ascii="Arial" w:hAnsi="Arial" w:cs="Arial"/>
          <w:sz w:val="24"/>
          <w:szCs w:val="24"/>
        </w:rPr>
      </w:pPr>
    </w:p>
    <w:p w14:paraId="2C1B8D2B" w14:textId="77777777" w:rsidR="008B533E" w:rsidRPr="00D64E6A" w:rsidRDefault="00765B75" w:rsidP="00AE645A">
      <w:r w:rsidRPr="00D64E6A">
        <w:t xml:space="preserve">En tal sentido, además de los informes de monitoreo, la Dirección Ejecutiva de Prerrogativas y Partidos Políticos presentó ante el Comité de Radio y Televisión </w:t>
      </w:r>
      <w:r w:rsidR="0031090D" w:rsidRPr="00D64E6A">
        <w:t xml:space="preserve">diversos </w:t>
      </w:r>
      <w:r w:rsidRPr="00D64E6A">
        <w:t xml:space="preserve">informes </w:t>
      </w:r>
      <w:r w:rsidR="0031090D" w:rsidRPr="00D64E6A">
        <w:t>sobre los requerimientos</w:t>
      </w:r>
      <w:r w:rsidRPr="00D64E6A">
        <w:t xml:space="preserve"> formulados a concesionarios de televisión restringida</w:t>
      </w:r>
      <w:r w:rsidR="00CC36ED" w:rsidRPr="00D64E6A">
        <w:rPr>
          <w:rStyle w:val="Refdenotaalpie"/>
        </w:rPr>
        <w:footnoteReference w:id="9"/>
      </w:r>
      <w:r w:rsidRPr="00D64E6A">
        <w:t>, con motivo de la detección de presuntos incumplimientos al pautado que les resultaba obligatorio retransmitir.</w:t>
      </w:r>
    </w:p>
    <w:p w14:paraId="2C1B8D2C" w14:textId="77777777" w:rsidR="008B533E" w:rsidRPr="00D64E6A" w:rsidRDefault="008B533E" w:rsidP="00AE645A"/>
    <w:p w14:paraId="2C1B8D2D" w14:textId="77777777" w:rsidR="00765B75" w:rsidRPr="00D64E6A" w:rsidRDefault="00765B75" w:rsidP="00AE645A">
      <w:r w:rsidRPr="00D64E6A">
        <w:t xml:space="preserve">Asimismo, </w:t>
      </w:r>
      <w:r w:rsidR="008B533E" w:rsidRPr="00D64E6A">
        <w:t>el Comité recibió información sobre las vistas presentadas</w:t>
      </w:r>
      <w:r w:rsidRPr="00D64E6A">
        <w:t xml:space="preserve"> al Instituto Federal de Telecomunicaciones, </w:t>
      </w:r>
      <w:r w:rsidR="00860D9F" w:rsidRPr="00D64E6A">
        <w:t xml:space="preserve">y a la Secretaría Ejecutiva del Instituto Nacional Electoral, </w:t>
      </w:r>
      <w:r w:rsidRPr="00D64E6A">
        <w:t xml:space="preserve">a efecto de </w:t>
      </w:r>
      <w:r w:rsidR="008B533E" w:rsidRPr="00D64E6A">
        <w:t>que ést</w:t>
      </w:r>
      <w:r w:rsidR="00860D9F" w:rsidRPr="00D64E6A">
        <w:t>os</w:t>
      </w:r>
      <w:r w:rsidR="008B533E" w:rsidRPr="00D64E6A">
        <w:t xml:space="preserve"> </w:t>
      </w:r>
      <w:r w:rsidRPr="00D64E6A">
        <w:t>tomar</w:t>
      </w:r>
      <w:r w:rsidR="008B533E" w:rsidRPr="00D64E6A">
        <w:t>a</w:t>
      </w:r>
      <w:r w:rsidR="00860D9F" w:rsidRPr="00D64E6A">
        <w:t>n</w:t>
      </w:r>
      <w:r w:rsidRPr="00D64E6A">
        <w:t xml:space="preserve"> las medidas correctivas necesarias</w:t>
      </w:r>
      <w:r w:rsidR="008B533E" w:rsidRPr="00D64E6A">
        <w:t>,</w:t>
      </w:r>
      <w:r w:rsidRPr="00D64E6A">
        <w:t xml:space="preserve"> </w:t>
      </w:r>
      <w:r w:rsidR="008B533E" w:rsidRPr="00D64E6A">
        <w:t xml:space="preserve">en lo tocante al ámbito de su competencia, </w:t>
      </w:r>
      <w:r w:rsidRPr="00D64E6A">
        <w:t>para que se transmit</w:t>
      </w:r>
      <w:r w:rsidR="008B533E" w:rsidRPr="00D64E6A">
        <w:t>ier</w:t>
      </w:r>
      <w:r w:rsidRPr="00D64E6A">
        <w:t>a la pauta adecuada.</w:t>
      </w:r>
    </w:p>
    <w:p w14:paraId="2C1B8D2E" w14:textId="77777777" w:rsidR="00765B75" w:rsidRPr="00D64E6A" w:rsidRDefault="00765B75" w:rsidP="00AE645A"/>
    <w:p w14:paraId="2C1B8D2F" w14:textId="77777777" w:rsidR="00765B75" w:rsidRPr="00D64E6A" w:rsidRDefault="0031090D" w:rsidP="00AE645A">
      <w:r w:rsidRPr="00D64E6A">
        <w:t>De igual forma</w:t>
      </w:r>
      <w:r w:rsidR="008B533E" w:rsidRPr="00D64E6A">
        <w:t xml:space="preserve">, el Comité recibió informes sobre </w:t>
      </w:r>
      <w:r w:rsidR="00765B75" w:rsidRPr="00D64E6A">
        <w:t xml:space="preserve">las respuestas de las </w:t>
      </w:r>
      <w:r w:rsidR="008B533E" w:rsidRPr="00D64E6A">
        <w:t>concesionarias de televisión restringida</w:t>
      </w:r>
      <w:r w:rsidR="00765B75" w:rsidRPr="00D64E6A">
        <w:t xml:space="preserve"> a dichos requerimientos y al desahogo de la</w:t>
      </w:r>
      <w:r w:rsidR="00860D9F" w:rsidRPr="00D64E6A">
        <w:t>s</w:t>
      </w:r>
      <w:r w:rsidR="00765B75" w:rsidRPr="00D64E6A">
        <w:t xml:space="preserve"> vista</w:t>
      </w:r>
      <w:r w:rsidR="00860D9F" w:rsidRPr="00D64E6A">
        <w:t>s</w:t>
      </w:r>
      <w:r w:rsidR="00765B75" w:rsidRPr="00D64E6A">
        <w:t xml:space="preserve"> efectuada</w:t>
      </w:r>
      <w:r w:rsidR="00860D9F" w:rsidRPr="00D64E6A">
        <w:t>s</w:t>
      </w:r>
      <w:r w:rsidR="007F1127" w:rsidRPr="00D64E6A">
        <w:t>.</w:t>
      </w:r>
    </w:p>
    <w:p w14:paraId="2C1B8D30" w14:textId="77777777" w:rsidR="00456C8B" w:rsidRPr="00D64E6A" w:rsidRDefault="00734352" w:rsidP="007E3EBE">
      <w:pPr>
        <w:pStyle w:val="Ttulo2"/>
      </w:pPr>
      <w:bookmarkStart w:id="24" w:name="_Toc460517120"/>
      <w:r w:rsidRPr="00D64E6A">
        <w:rPr>
          <w:lang w:val="es-MX"/>
        </w:rPr>
        <w:t>III.</w:t>
      </w:r>
      <w:r w:rsidR="002147FE" w:rsidRPr="00D64E6A">
        <w:rPr>
          <w:lang w:val="es-MX"/>
        </w:rPr>
        <w:t>2</w:t>
      </w:r>
      <w:r w:rsidR="00693165" w:rsidRPr="00D64E6A">
        <w:t>.</w:t>
      </w:r>
      <w:r w:rsidR="00693165" w:rsidRPr="00D64E6A">
        <w:tab/>
      </w:r>
      <w:r w:rsidR="00456C8B" w:rsidRPr="00D64E6A">
        <w:t>Monitoreo de espacios noticiosos</w:t>
      </w:r>
      <w:bookmarkEnd w:id="24"/>
    </w:p>
    <w:p w14:paraId="2C1B8D31" w14:textId="77777777" w:rsidR="00456C8B" w:rsidRPr="00D64E6A" w:rsidRDefault="00456C8B" w:rsidP="00A551D2"/>
    <w:p w14:paraId="2C1B8D32" w14:textId="77777777" w:rsidR="00E83701" w:rsidRPr="00D64E6A" w:rsidRDefault="00E83701" w:rsidP="00570C24">
      <w:pPr>
        <w:rPr>
          <w:spacing w:val="-4"/>
        </w:rPr>
      </w:pPr>
      <w:r w:rsidRPr="00D64E6A">
        <w:rPr>
          <w:spacing w:val="-4"/>
        </w:rPr>
        <w:t xml:space="preserve">En la </w:t>
      </w:r>
      <w:r w:rsidR="00570C24" w:rsidRPr="00D64E6A">
        <w:rPr>
          <w:spacing w:val="-4"/>
        </w:rPr>
        <w:t>Décima Segunda Sesión Ordinaria de 2015 del Comité, celebrada el 17 de diciembre de 2015</w:t>
      </w:r>
      <w:r w:rsidR="00EC2D90" w:rsidRPr="00D64E6A">
        <w:rPr>
          <w:spacing w:val="-4"/>
        </w:rPr>
        <w:t>,</w:t>
      </w:r>
      <w:r w:rsidR="00570C24" w:rsidRPr="00D64E6A">
        <w:rPr>
          <w:spacing w:val="-4"/>
        </w:rPr>
        <w:t xml:space="preserve"> el órgano colegiado</w:t>
      </w:r>
      <w:r w:rsidR="00A2261E" w:rsidRPr="00D64E6A">
        <w:rPr>
          <w:spacing w:val="-4"/>
        </w:rPr>
        <w:t>, previa solicitud de algunos de sus integrantes,</w:t>
      </w:r>
      <w:r w:rsidR="00570C24" w:rsidRPr="00D64E6A">
        <w:rPr>
          <w:spacing w:val="-4"/>
        </w:rPr>
        <w:t xml:space="preserve"> conoció </w:t>
      </w:r>
      <w:r w:rsidRPr="00D64E6A">
        <w:rPr>
          <w:spacing w:val="-4"/>
        </w:rPr>
        <w:t>un informe</w:t>
      </w:r>
      <w:r w:rsidR="00570C24" w:rsidRPr="00D64E6A">
        <w:rPr>
          <w:spacing w:val="-4"/>
        </w:rPr>
        <w:t xml:space="preserve"> </w:t>
      </w:r>
      <w:r w:rsidR="00DB1381" w:rsidRPr="00D64E6A">
        <w:rPr>
          <w:spacing w:val="-4"/>
        </w:rPr>
        <w:t>que</w:t>
      </w:r>
      <w:r w:rsidR="00EC2D90" w:rsidRPr="00D64E6A">
        <w:rPr>
          <w:spacing w:val="-4"/>
        </w:rPr>
        <w:t xml:space="preserve"> presentó elementos de análisis sobre la </w:t>
      </w:r>
      <w:r w:rsidR="00C815C0" w:rsidRPr="00D64E6A">
        <w:rPr>
          <w:spacing w:val="-4"/>
        </w:rPr>
        <w:t xml:space="preserve">prácticamente nula </w:t>
      </w:r>
      <w:r w:rsidR="00EC2D90" w:rsidRPr="00D64E6A">
        <w:rPr>
          <w:spacing w:val="-4"/>
        </w:rPr>
        <w:t xml:space="preserve">factibilidad </w:t>
      </w:r>
      <w:r w:rsidRPr="00D64E6A">
        <w:rPr>
          <w:spacing w:val="-4"/>
        </w:rPr>
        <w:t>de realizar el monitoreo de programas de radio y televisión que</w:t>
      </w:r>
      <w:r w:rsidR="00570C24" w:rsidRPr="00D64E6A">
        <w:rPr>
          <w:spacing w:val="-4"/>
        </w:rPr>
        <w:t xml:space="preserve"> difundieran noticias d</w:t>
      </w:r>
      <w:r w:rsidRPr="00D64E6A">
        <w:rPr>
          <w:spacing w:val="-4"/>
        </w:rPr>
        <w:t>el Proceso Electoral Local Extraordinario en Colima.</w:t>
      </w:r>
    </w:p>
    <w:p w14:paraId="2C1B8D33" w14:textId="77777777" w:rsidR="00570C24" w:rsidRPr="00D64E6A" w:rsidRDefault="00570C24" w:rsidP="00570C24"/>
    <w:p w14:paraId="2C1B8D34" w14:textId="77777777" w:rsidR="00A2261E" w:rsidRPr="00D64E6A" w:rsidRDefault="00A2261E" w:rsidP="00A2261E">
      <w:r w:rsidRPr="00D64E6A">
        <w:t>En esa misma sesión,</w:t>
      </w:r>
      <w:r w:rsidR="00C815C0" w:rsidRPr="00D64E6A">
        <w:t xml:space="preserve"> y como consecuencia de lo anterior, </w:t>
      </w:r>
      <w:r w:rsidRPr="00D64E6A">
        <w:t>se generó el compromiso que la Secretaría</w:t>
      </w:r>
      <w:r w:rsidR="00C815C0" w:rsidRPr="00D64E6A">
        <w:t xml:space="preserve"> </w:t>
      </w:r>
      <w:r w:rsidRPr="00D64E6A">
        <w:t>Técnica presentaría un informe sobre las medidas que deb</w:t>
      </w:r>
      <w:r w:rsidR="00C815C0" w:rsidRPr="00D64E6A">
        <w:t>ían</w:t>
      </w:r>
      <w:r w:rsidRPr="00D64E6A">
        <w:t xml:space="preserve"> llevarse a cabo junto con la</w:t>
      </w:r>
      <w:r w:rsidR="00C815C0" w:rsidRPr="00D64E6A">
        <w:t xml:space="preserve"> </w:t>
      </w:r>
      <w:r w:rsidRPr="00D64E6A">
        <w:t xml:space="preserve">Comisión de Vinculación </w:t>
      </w:r>
      <w:r w:rsidR="00C815C0" w:rsidRPr="00D64E6A">
        <w:t>con los Organismos Públicos Locales Electorales</w:t>
      </w:r>
      <w:r w:rsidR="00791269" w:rsidRPr="00D64E6A">
        <w:t xml:space="preserve"> (OPLE)</w:t>
      </w:r>
      <w:r w:rsidR="00C815C0" w:rsidRPr="00D64E6A">
        <w:t xml:space="preserve"> </w:t>
      </w:r>
      <w:r w:rsidRPr="00D64E6A">
        <w:t>para revisar la posibilidad de implementar un esquema de</w:t>
      </w:r>
      <w:r w:rsidR="00C815C0" w:rsidRPr="00D64E6A">
        <w:t xml:space="preserve"> </w:t>
      </w:r>
      <w:r w:rsidRPr="00D64E6A">
        <w:t>seguimiento de los programas de radio y televisión que difundan noticias durante los procesos</w:t>
      </w:r>
      <w:r w:rsidR="00C815C0" w:rsidRPr="00D64E6A">
        <w:t xml:space="preserve"> </w:t>
      </w:r>
      <w:r w:rsidRPr="00D64E6A">
        <w:t xml:space="preserve">electorales locales a celebrarse en 2016, a través de </w:t>
      </w:r>
      <w:r w:rsidR="00C815C0" w:rsidRPr="00D64E6A">
        <w:t xml:space="preserve">dichos </w:t>
      </w:r>
      <w:r w:rsidRPr="00D64E6A">
        <w:t>Organismos.</w:t>
      </w:r>
    </w:p>
    <w:p w14:paraId="2C1B8D35" w14:textId="77777777" w:rsidR="00C815C0" w:rsidRPr="00D64E6A" w:rsidRDefault="00C815C0" w:rsidP="00A2261E"/>
    <w:p w14:paraId="2C1B8D36" w14:textId="77777777" w:rsidR="00791269" w:rsidRPr="00D64E6A" w:rsidRDefault="00A2261E" w:rsidP="00C815C0">
      <w:r w:rsidRPr="00D64E6A">
        <w:t xml:space="preserve">Sobre este particular, </w:t>
      </w:r>
      <w:r w:rsidR="00C815C0" w:rsidRPr="00D64E6A">
        <w:t xml:space="preserve">en la Primera Sesión Ordinaria de 2016, celebrada el 29 de enero, el Comité recibió de </w:t>
      </w:r>
      <w:r w:rsidRPr="00D64E6A">
        <w:t xml:space="preserve">la Dirección Ejecutiva de Prerrogativas y Partidos Políticos </w:t>
      </w:r>
      <w:r w:rsidR="00791269" w:rsidRPr="00D64E6A">
        <w:t>el informe mencionado.</w:t>
      </w:r>
    </w:p>
    <w:p w14:paraId="2C1B8D37" w14:textId="77777777" w:rsidR="00791269" w:rsidRPr="00D64E6A" w:rsidRDefault="00791269" w:rsidP="00C815C0"/>
    <w:p w14:paraId="2C1B8D38" w14:textId="77777777" w:rsidR="00A2261E" w:rsidRPr="00D64E6A" w:rsidRDefault="00791269" w:rsidP="00557E6E">
      <w:pPr>
        <w:rPr>
          <w:szCs w:val="24"/>
        </w:rPr>
      </w:pPr>
      <w:r w:rsidRPr="00D64E6A">
        <w:t>En él, se dio cuenta al Comité sobre diversas</w:t>
      </w:r>
      <w:r w:rsidR="00A2261E" w:rsidRPr="00D64E6A">
        <w:t xml:space="preserve"> acciones</w:t>
      </w:r>
      <w:r w:rsidRPr="00D64E6A">
        <w:t>, entre las cuales destacan la Consulta a los OPLE</w:t>
      </w:r>
      <w:r w:rsidR="00557E6E" w:rsidRPr="00D64E6A">
        <w:t>,</w:t>
      </w:r>
      <w:r w:rsidRPr="00D64E6A">
        <w:t xml:space="preserve"> vía la Unidad Técnica de Vinculación</w:t>
      </w:r>
      <w:r w:rsidR="00557E6E" w:rsidRPr="00D64E6A">
        <w:t xml:space="preserve"> del Instituto; la recepción y sistematización de las respuestas atinentes; los análisis comparativos, genéricos y particulares por cada uno de los OPLE; precedentes sobre el apoyo que </w:t>
      </w:r>
      <w:r w:rsidR="00557E6E" w:rsidRPr="00D64E6A">
        <w:rPr>
          <w:szCs w:val="24"/>
        </w:rPr>
        <w:t>la Dirección Ejecutiva de Prerrogativas y Partidos Políticos les ha proporcionado</w:t>
      </w:r>
      <w:r w:rsidR="00A2261E" w:rsidRPr="00D64E6A">
        <w:rPr>
          <w:szCs w:val="24"/>
        </w:rPr>
        <w:t xml:space="preserve"> </w:t>
      </w:r>
      <w:r w:rsidR="00557E6E" w:rsidRPr="00D64E6A">
        <w:rPr>
          <w:szCs w:val="24"/>
        </w:rPr>
        <w:t xml:space="preserve">para realizar </w:t>
      </w:r>
      <w:r w:rsidR="00A2261E" w:rsidRPr="00D64E6A">
        <w:rPr>
          <w:szCs w:val="24"/>
        </w:rPr>
        <w:t>monitoreo</w:t>
      </w:r>
      <w:r w:rsidR="00557E6E" w:rsidRPr="00D64E6A">
        <w:rPr>
          <w:szCs w:val="24"/>
        </w:rPr>
        <w:t>s</w:t>
      </w:r>
      <w:r w:rsidR="00133ECE" w:rsidRPr="00D64E6A">
        <w:rPr>
          <w:szCs w:val="24"/>
        </w:rPr>
        <w:t xml:space="preserve"> de noticiario</w:t>
      </w:r>
      <w:r w:rsidR="003F1766" w:rsidRPr="00D64E6A">
        <w:rPr>
          <w:szCs w:val="24"/>
        </w:rPr>
        <w:t>s</w:t>
      </w:r>
      <w:r w:rsidR="00133ECE" w:rsidRPr="00D64E6A">
        <w:rPr>
          <w:szCs w:val="24"/>
        </w:rPr>
        <w:t xml:space="preserve">, detallando los procedimientos administrativos que sustentan dichos apoyos; las acciones a implementar en caso de existir interés en realizar monitoreos estatales, entre otros aspectos. </w:t>
      </w:r>
    </w:p>
    <w:p w14:paraId="2C1B8D39" w14:textId="77777777" w:rsidR="00A2261E" w:rsidRPr="00D64E6A" w:rsidRDefault="00A2261E" w:rsidP="00A2261E">
      <w:pPr>
        <w:rPr>
          <w:szCs w:val="24"/>
        </w:rPr>
      </w:pPr>
    </w:p>
    <w:p w14:paraId="2C1B8D3A" w14:textId="77777777" w:rsidR="0016585E" w:rsidRPr="00D64E6A" w:rsidRDefault="00133ECE" w:rsidP="00B32BAC">
      <w:pPr>
        <w:rPr>
          <w:szCs w:val="24"/>
        </w:rPr>
      </w:pPr>
      <w:r w:rsidRPr="00D64E6A">
        <w:rPr>
          <w:szCs w:val="24"/>
        </w:rPr>
        <w:t>Posteriormente, el Comité aprobó en su</w:t>
      </w:r>
      <w:r w:rsidR="00B32BAC" w:rsidRPr="00D64E6A">
        <w:rPr>
          <w:szCs w:val="24"/>
        </w:rPr>
        <w:t xml:space="preserve"> Sexta Sesión Especial de 2016, celebrada el 4 de abril, los </w:t>
      </w:r>
      <w:r w:rsidR="0016585E" w:rsidRPr="00D64E6A">
        <w:rPr>
          <w:szCs w:val="24"/>
        </w:rPr>
        <w:t xml:space="preserve">siguientes </w:t>
      </w:r>
      <w:r w:rsidR="00B32BAC" w:rsidRPr="00D64E6A">
        <w:rPr>
          <w:szCs w:val="24"/>
        </w:rPr>
        <w:t xml:space="preserve">anteproyectos de </w:t>
      </w:r>
      <w:r w:rsidRPr="00D64E6A">
        <w:rPr>
          <w:szCs w:val="24"/>
        </w:rPr>
        <w:t>Acuerdo del Consejo General</w:t>
      </w:r>
      <w:r w:rsidR="0016585E" w:rsidRPr="00D64E6A">
        <w:rPr>
          <w:szCs w:val="24"/>
        </w:rPr>
        <w:t>:</w:t>
      </w:r>
    </w:p>
    <w:p w14:paraId="2C1B8D3B" w14:textId="77777777" w:rsidR="0016585E" w:rsidRPr="00D64E6A" w:rsidRDefault="0016585E" w:rsidP="00B32BAC">
      <w:pPr>
        <w:rPr>
          <w:szCs w:val="24"/>
        </w:rPr>
      </w:pPr>
    </w:p>
    <w:p w14:paraId="2C1B8D3C" w14:textId="77777777" w:rsidR="0016585E" w:rsidRPr="00D64E6A" w:rsidRDefault="0016585E" w:rsidP="00E675FC">
      <w:pPr>
        <w:pStyle w:val="Prrafodelista"/>
        <w:numPr>
          <w:ilvl w:val="0"/>
          <w:numId w:val="8"/>
        </w:numPr>
        <w:rPr>
          <w:rFonts w:ascii="Arial" w:hAnsi="Arial" w:cs="Arial"/>
          <w:sz w:val="24"/>
          <w:szCs w:val="24"/>
        </w:rPr>
      </w:pPr>
      <w:r w:rsidRPr="00D64E6A">
        <w:rPr>
          <w:rFonts w:ascii="Arial" w:hAnsi="Arial" w:cs="Arial"/>
          <w:sz w:val="24"/>
          <w:szCs w:val="24"/>
        </w:rPr>
        <w:t>P</w:t>
      </w:r>
      <w:r w:rsidR="00B32BAC" w:rsidRPr="00D64E6A">
        <w:rPr>
          <w:rFonts w:ascii="Arial" w:hAnsi="Arial" w:cs="Arial"/>
          <w:sz w:val="24"/>
          <w:szCs w:val="24"/>
        </w:rPr>
        <w:t>or el que se ratifican los Lineamientos Generales</w:t>
      </w:r>
      <w:r w:rsidRPr="00D64E6A">
        <w:rPr>
          <w:rFonts w:ascii="Arial" w:hAnsi="Arial" w:cs="Arial"/>
          <w:sz w:val="24"/>
          <w:szCs w:val="24"/>
        </w:rPr>
        <w:t xml:space="preserve"> que</w:t>
      </w:r>
      <w:r w:rsidR="00B32BAC" w:rsidRPr="00D64E6A">
        <w:rPr>
          <w:rFonts w:ascii="Arial" w:hAnsi="Arial" w:cs="Arial"/>
          <w:sz w:val="24"/>
          <w:szCs w:val="24"/>
        </w:rPr>
        <w:t xml:space="preserve"> se recomiendan a los noticiarios respecto de la información y difusión de las actividades de precampaña y campaña de los partidos políticos y de los candidatos independientes en cumplimiento a lo dispuesto por el artículo 160, numeral 3 de la Ley General de Instituciones y Procedimientos Electorales</w:t>
      </w:r>
      <w:r w:rsidRPr="00D64E6A">
        <w:rPr>
          <w:rFonts w:ascii="Arial" w:hAnsi="Arial" w:cs="Arial"/>
          <w:sz w:val="24"/>
          <w:szCs w:val="24"/>
        </w:rPr>
        <w:t xml:space="preserve">. </w:t>
      </w:r>
      <w:r w:rsidR="00E675FC" w:rsidRPr="00D64E6A">
        <w:rPr>
          <w:rFonts w:ascii="Arial" w:hAnsi="Arial" w:cs="Arial"/>
          <w:sz w:val="24"/>
          <w:szCs w:val="24"/>
        </w:rPr>
        <w:t>Ello</w:t>
      </w:r>
      <w:r w:rsidRPr="00D64E6A">
        <w:rPr>
          <w:rFonts w:ascii="Arial" w:hAnsi="Arial" w:cs="Arial"/>
          <w:sz w:val="24"/>
          <w:szCs w:val="24"/>
        </w:rPr>
        <w:t>, desde luego</w:t>
      </w:r>
      <w:r w:rsidR="00B32BAC" w:rsidRPr="00D64E6A">
        <w:rPr>
          <w:rFonts w:ascii="Arial" w:hAnsi="Arial" w:cs="Arial"/>
          <w:sz w:val="24"/>
          <w:szCs w:val="24"/>
        </w:rPr>
        <w:t xml:space="preserve">, únicamente en lo referente a los procesos electorales a celebrarse en las entidades federativas durante </w:t>
      </w:r>
      <w:r w:rsidRPr="00D64E6A">
        <w:rPr>
          <w:rFonts w:ascii="Arial" w:hAnsi="Arial" w:cs="Arial"/>
          <w:sz w:val="24"/>
          <w:szCs w:val="24"/>
        </w:rPr>
        <w:t>2016.</w:t>
      </w:r>
    </w:p>
    <w:p w14:paraId="2C1B8D3D" w14:textId="77777777" w:rsidR="00E675FC" w:rsidRPr="00D64E6A" w:rsidRDefault="00E675FC" w:rsidP="00B32BAC">
      <w:pPr>
        <w:rPr>
          <w:rFonts w:cs="Arial"/>
          <w:szCs w:val="24"/>
        </w:rPr>
      </w:pPr>
    </w:p>
    <w:p w14:paraId="2C1B8D3E" w14:textId="77777777" w:rsidR="00E83701" w:rsidRPr="00D64E6A" w:rsidRDefault="0016585E" w:rsidP="00E018BC">
      <w:pPr>
        <w:pStyle w:val="Prrafodelista"/>
        <w:numPr>
          <w:ilvl w:val="0"/>
          <w:numId w:val="8"/>
        </w:numPr>
        <w:rPr>
          <w:rFonts w:ascii="Arial" w:hAnsi="Arial" w:cs="Arial"/>
          <w:sz w:val="24"/>
          <w:szCs w:val="24"/>
        </w:rPr>
      </w:pPr>
      <w:r w:rsidRPr="00D64E6A">
        <w:rPr>
          <w:rFonts w:ascii="Arial" w:hAnsi="Arial" w:cs="Arial"/>
          <w:sz w:val="24"/>
          <w:szCs w:val="24"/>
        </w:rPr>
        <w:t>P</w:t>
      </w:r>
      <w:r w:rsidR="00B32BAC" w:rsidRPr="00D64E6A">
        <w:rPr>
          <w:rFonts w:ascii="Arial" w:hAnsi="Arial" w:cs="Arial"/>
          <w:sz w:val="24"/>
          <w:szCs w:val="24"/>
        </w:rPr>
        <w:t>or el que se emiten recomendaciones para los Organismos Públicos Locales electorales que habrán de realizar el monitoreo de transmisiones en los programas de radio y televisión que difundan noticias, mismos que previamente fueron conocidos por el Comité de Radio y Televisión.</w:t>
      </w:r>
      <w:r w:rsidR="00E675FC" w:rsidRPr="00D64E6A">
        <w:rPr>
          <w:rFonts w:ascii="Arial" w:hAnsi="Arial" w:cs="Arial"/>
          <w:sz w:val="24"/>
          <w:szCs w:val="24"/>
        </w:rPr>
        <w:t xml:space="preserve"> </w:t>
      </w:r>
      <w:r w:rsidRPr="00D64E6A">
        <w:rPr>
          <w:rFonts w:ascii="Arial" w:hAnsi="Arial" w:cs="Arial"/>
          <w:sz w:val="24"/>
          <w:szCs w:val="24"/>
        </w:rPr>
        <w:t>Este anteproyecto,</w:t>
      </w:r>
      <w:r w:rsidR="00B32BAC" w:rsidRPr="00D64E6A">
        <w:rPr>
          <w:rFonts w:ascii="Arial" w:hAnsi="Arial" w:cs="Arial"/>
          <w:sz w:val="24"/>
          <w:szCs w:val="24"/>
        </w:rPr>
        <w:t xml:space="preserve"> antes de ser presentado al Consejo General, fue remitido a la Comisión de Vinculación con Órganos Públicos Locales </w:t>
      </w:r>
      <w:r w:rsidR="00E675FC" w:rsidRPr="00D64E6A">
        <w:rPr>
          <w:rFonts w:ascii="Arial" w:hAnsi="Arial" w:cs="Arial"/>
          <w:sz w:val="24"/>
          <w:szCs w:val="24"/>
        </w:rPr>
        <w:t>para su discusión y aprobación</w:t>
      </w:r>
      <w:r w:rsidR="00B32BAC" w:rsidRPr="00D64E6A">
        <w:rPr>
          <w:rFonts w:ascii="Arial" w:hAnsi="Arial" w:cs="Arial"/>
          <w:sz w:val="24"/>
          <w:szCs w:val="24"/>
        </w:rPr>
        <w:t>.</w:t>
      </w:r>
    </w:p>
    <w:p w14:paraId="2C1B8D3F" w14:textId="77777777" w:rsidR="00E83701" w:rsidRPr="00D64E6A" w:rsidRDefault="00E83701" w:rsidP="00A551D2"/>
    <w:p w14:paraId="2C1B8D40" w14:textId="77777777" w:rsidR="0016585E" w:rsidRPr="00D64E6A" w:rsidRDefault="00E675FC" w:rsidP="00A551D2">
      <w:r w:rsidRPr="00D64E6A">
        <w:t xml:space="preserve">Ambos anteproyectos fueron aprobados </w:t>
      </w:r>
      <w:r w:rsidR="00F57803" w:rsidRPr="00D64E6A">
        <w:t>en sesión extraordinaria d</w:t>
      </w:r>
      <w:r w:rsidRPr="00D64E6A">
        <w:t>el</w:t>
      </w:r>
      <w:r w:rsidR="0016585E" w:rsidRPr="00D64E6A">
        <w:t xml:space="preserve"> 6 de abril </w:t>
      </w:r>
      <w:r w:rsidRPr="00D64E6A">
        <w:t xml:space="preserve">de 2016 por el Consejo General, mediante </w:t>
      </w:r>
      <w:r w:rsidR="0016585E" w:rsidRPr="00D64E6A">
        <w:t>los acuerdos INE/CG192/2016</w:t>
      </w:r>
      <w:r w:rsidRPr="00D64E6A">
        <w:t xml:space="preserve"> e INE/CG193/2016.</w:t>
      </w:r>
    </w:p>
    <w:p w14:paraId="2C1B8D41" w14:textId="77777777" w:rsidR="0016585E" w:rsidRPr="00D64E6A" w:rsidRDefault="0016585E" w:rsidP="00A551D2"/>
    <w:p w14:paraId="2C1B8D42" w14:textId="77777777" w:rsidR="00F57803" w:rsidRPr="00D64E6A" w:rsidRDefault="00F57803" w:rsidP="00A551D2">
      <w:r w:rsidRPr="00D64E6A">
        <w:t>Este último Acuerdo instruyó a la Unidad Técnica de Vinculación para solicitar a los Organismos Públicos que realizaran algún monitoreo, los informes periódicos que generen para que éstos fueran presentados, en coordinación con la Dirección Ejecutiva de Prerrogativas y Partidos Políticos, al Comité de Radio y Televisión y a la Comisión de Vinculación con los Organismos Públicos Locales Electorales.</w:t>
      </w:r>
    </w:p>
    <w:p w14:paraId="2C1B8D43" w14:textId="77777777" w:rsidR="00561E0E" w:rsidRPr="00D64E6A" w:rsidRDefault="00561E0E" w:rsidP="00A551D2"/>
    <w:p w14:paraId="2C1B8D44" w14:textId="77777777" w:rsidR="00E83701" w:rsidRPr="00D64E6A" w:rsidRDefault="00561E0E" w:rsidP="00A551D2">
      <w:r w:rsidRPr="00D64E6A">
        <w:t xml:space="preserve">En cumplimiento de lo anterior, la Secretaría Técnica del Comité presentó </w:t>
      </w:r>
      <w:r w:rsidR="00EF74D8" w:rsidRPr="00D64E6A">
        <w:t>en la 5ª Sesión Ordinaria de 2016, celebrada el 26 de mayo y, posteriormente, por medios electrónicos, tres informes respecto de los monitoreos de noticiarios que se realizaron en las entidades con elecciones el 5 de junio de 2016, para dar cumplimiento al citado acuerdo INE/CG193/2016.</w:t>
      </w:r>
    </w:p>
    <w:p w14:paraId="2C1B8D45" w14:textId="77777777" w:rsidR="00EF74D8" w:rsidRPr="00D64E6A" w:rsidRDefault="00EF74D8" w:rsidP="00A551D2"/>
    <w:p w14:paraId="2C1B8D46" w14:textId="77777777" w:rsidR="007902E9" w:rsidRPr="00D64E6A" w:rsidRDefault="001F4500" w:rsidP="00A551D2">
      <w:r w:rsidRPr="00D64E6A">
        <w:t xml:space="preserve">Por otra parte, en cumplimiento a lo ordenado por el Acuerdo INE/CG118/2016, emitido en sesión extraordinaria del 16 de marzo del año en curso, </w:t>
      </w:r>
      <w:r w:rsidR="00525DAC" w:rsidRPr="00D64E6A">
        <w:t xml:space="preserve">se ratificaron los </w:t>
      </w:r>
      <w:r w:rsidR="007902E9" w:rsidRPr="00D64E6A">
        <w:t xml:space="preserve">Lineamientos Generales </w:t>
      </w:r>
      <w:r w:rsidR="00525DAC" w:rsidRPr="00D64E6A">
        <w:t xml:space="preserve">aprobados mediante </w:t>
      </w:r>
      <w:r w:rsidR="007902E9" w:rsidRPr="00D64E6A">
        <w:t xml:space="preserve">Acuerdo </w:t>
      </w:r>
      <w:r w:rsidR="00525DAC" w:rsidRPr="00D64E6A">
        <w:t>INE/CG133/2014</w:t>
      </w:r>
      <w:r w:rsidR="007902E9" w:rsidRPr="00D64E6A">
        <w:t xml:space="preserve"> (lineamientos para la cobertura noticiosa del Proceso Electoral Federal 2014-2015), </w:t>
      </w:r>
      <w:r w:rsidR="00525DAC" w:rsidRPr="00D64E6A">
        <w:t xml:space="preserve">para aplicarlos al periodo de campaña del </w:t>
      </w:r>
      <w:r w:rsidR="007902E9" w:rsidRPr="00D64E6A">
        <w:t xml:space="preserve">Proceso Electoral </w:t>
      </w:r>
      <w:r w:rsidR="00525DAC" w:rsidRPr="00D64E6A">
        <w:t xml:space="preserve">para integrar la </w:t>
      </w:r>
      <w:r w:rsidR="007902E9" w:rsidRPr="00D64E6A">
        <w:t xml:space="preserve">Asamblea Constituyente </w:t>
      </w:r>
      <w:r w:rsidR="00525DAC" w:rsidRPr="00D64E6A">
        <w:t xml:space="preserve">de la </w:t>
      </w:r>
      <w:r w:rsidR="007902E9" w:rsidRPr="00D64E6A">
        <w:t xml:space="preserve">Ciudad </w:t>
      </w:r>
      <w:r w:rsidR="00525DAC" w:rsidRPr="00D64E6A">
        <w:t xml:space="preserve">de </w:t>
      </w:r>
      <w:r w:rsidR="007902E9" w:rsidRPr="00D64E6A">
        <w:t>México.</w:t>
      </w:r>
    </w:p>
    <w:p w14:paraId="2C1B8D47" w14:textId="77777777" w:rsidR="007902E9" w:rsidRPr="00D64E6A" w:rsidRDefault="007902E9" w:rsidP="00A551D2"/>
    <w:p w14:paraId="2C1B8D48" w14:textId="77777777" w:rsidR="00E83701" w:rsidRPr="00D64E6A" w:rsidRDefault="007902E9" w:rsidP="00A551D2">
      <w:r w:rsidRPr="00D64E6A">
        <w:t>En el mismo Acuerdo se ordenó</w:t>
      </w:r>
      <w:r w:rsidR="00525DAC" w:rsidRPr="00D64E6A">
        <w:t xml:space="preserve"> la realización del monitoreo de las transmisiones sobre las campañas electorales del proces</w:t>
      </w:r>
      <w:r w:rsidRPr="00D64E6A">
        <w:t>o electoral señalado; se aprobó</w:t>
      </w:r>
      <w:r w:rsidR="00525DAC" w:rsidRPr="00D64E6A">
        <w:t xml:space="preserve"> el catálogo de programas de radio y televisión q</w:t>
      </w:r>
      <w:r w:rsidRPr="00D64E6A">
        <w:t>ue difunden noticias; se aprobó</w:t>
      </w:r>
      <w:r w:rsidR="00525DAC" w:rsidRPr="00D64E6A">
        <w:t xml:space="preserve"> la metodología para realizar el monitoreo de </w:t>
      </w:r>
      <w:r w:rsidRPr="00D64E6A">
        <w:t>dichos programas, y se aprobó</w:t>
      </w:r>
      <w:r w:rsidR="00525DAC" w:rsidRPr="00D64E6A">
        <w:t xml:space="preserve"> la institución de educación superior que llevará a cabo dicho monitoreo</w:t>
      </w:r>
      <w:r w:rsidRPr="00D64E6A">
        <w:t>.</w:t>
      </w:r>
    </w:p>
    <w:p w14:paraId="2C1B8D49" w14:textId="77777777" w:rsidR="007902E9" w:rsidRPr="00D64E6A" w:rsidRDefault="007902E9" w:rsidP="00A551D2"/>
    <w:p w14:paraId="2C1B8D4A" w14:textId="77777777" w:rsidR="007902E9" w:rsidRPr="00D64E6A" w:rsidRDefault="007902E9" w:rsidP="00A551D2">
      <w:r w:rsidRPr="00D64E6A">
        <w:t xml:space="preserve">En cumplimiento a uno de los mandatos del instrumento que nos ocupa, </w:t>
      </w:r>
      <w:r w:rsidR="00746348" w:rsidRPr="00D64E6A">
        <w:t>la Secretaría Técnica del Comité, difundió entre sus integrantes</w:t>
      </w:r>
      <w:r w:rsidR="00114ABE" w:rsidRPr="00D64E6A">
        <w:t>, en los meses de mayo y junio de 2016,</w:t>
      </w:r>
      <w:r w:rsidR="00746348" w:rsidRPr="00D64E6A">
        <w:t xml:space="preserve"> </w:t>
      </w:r>
      <w:r w:rsidR="00114ABE" w:rsidRPr="00D64E6A">
        <w:t>seis informes semanales</w:t>
      </w:r>
      <w:r w:rsidR="00746348" w:rsidRPr="00D64E6A">
        <w:t xml:space="preserve"> sobre</w:t>
      </w:r>
      <w:r w:rsidRPr="00D64E6A">
        <w:t xml:space="preserve"> los resultados arrojados por el monitoreo</w:t>
      </w:r>
      <w:r w:rsidR="00114ABE" w:rsidRPr="00D64E6A">
        <w:t xml:space="preserve"> de programas de radio y televisión que difunden noticias relativas a las campañas del Proceso Electoral para integrar la Asamblea Constituyente de la Ciudad de México.</w:t>
      </w:r>
    </w:p>
    <w:p w14:paraId="2C1B8D4B" w14:textId="77777777" w:rsidR="00860D9F" w:rsidRPr="00D64E6A" w:rsidRDefault="00860D9F" w:rsidP="00A551D2"/>
    <w:p w14:paraId="2C1B8D4C" w14:textId="77777777" w:rsidR="00456C8B" w:rsidRPr="00D64E6A" w:rsidRDefault="00734352" w:rsidP="00693165">
      <w:pPr>
        <w:pStyle w:val="Ttulo2"/>
        <w:ind w:left="709" w:hanging="709"/>
      </w:pPr>
      <w:bookmarkStart w:id="25" w:name="_Toc460517121"/>
      <w:r w:rsidRPr="00D64E6A">
        <w:rPr>
          <w:lang w:val="es-MX"/>
        </w:rPr>
        <w:t>III.</w:t>
      </w:r>
      <w:r w:rsidR="00C432D6" w:rsidRPr="00D64E6A">
        <w:rPr>
          <w:lang w:val="es-MX"/>
        </w:rPr>
        <w:t>3</w:t>
      </w:r>
      <w:r w:rsidR="00693165" w:rsidRPr="00D64E6A">
        <w:t>.</w:t>
      </w:r>
      <w:r w:rsidR="00693165" w:rsidRPr="00D64E6A">
        <w:tab/>
      </w:r>
      <w:r w:rsidR="00103F4C" w:rsidRPr="00D64E6A">
        <w:t>Actualización de la página del Comité de Radio y Televisión en el portal de internet del Instituto Nacional Electoral</w:t>
      </w:r>
      <w:bookmarkEnd w:id="25"/>
    </w:p>
    <w:p w14:paraId="2C1B8D4D" w14:textId="77777777" w:rsidR="00456C8B" w:rsidRPr="00D64E6A" w:rsidRDefault="00456C8B" w:rsidP="00B46E1C"/>
    <w:p w14:paraId="2C1B8D4E" w14:textId="77777777" w:rsidR="00B46E1C" w:rsidRPr="00D64E6A" w:rsidRDefault="00FE009E" w:rsidP="00B46E1C">
      <w:r w:rsidRPr="00D64E6A">
        <w:t>En</w:t>
      </w:r>
      <w:r w:rsidR="004B00B1" w:rsidRPr="00D64E6A">
        <w:t xml:space="preserve"> la </w:t>
      </w:r>
      <w:r w:rsidR="003D13C7" w:rsidRPr="00D64E6A">
        <w:t>Octava Sesión Ordinara</w:t>
      </w:r>
      <w:r w:rsidR="007710D5" w:rsidRPr="00D64E6A">
        <w:t xml:space="preserve"> de 2015</w:t>
      </w:r>
      <w:r w:rsidR="003D13C7" w:rsidRPr="00D64E6A">
        <w:t>,</w:t>
      </w:r>
      <w:r w:rsidR="004B00B1" w:rsidRPr="00D64E6A">
        <w:t xml:space="preserve"> </w:t>
      </w:r>
      <w:r w:rsidRPr="00D64E6A">
        <w:t xml:space="preserve">celebrada </w:t>
      </w:r>
      <w:r w:rsidR="004B00B1" w:rsidRPr="00D64E6A">
        <w:t xml:space="preserve">el 25 de agosto, </w:t>
      </w:r>
      <w:r w:rsidR="003D13C7" w:rsidRPr="00D64E6A">
        <w:t xml:space="preserve">el Comité conoció </w:t>
      </w:r>
      <w:r w:rsidR="004B00B1" w:rsidRPr="00D64E6A">
        <w:t xml:space="preserve">la propuesta de rediseño </w:t>
      </w:r>
      <w:r w:rsidR="003D13C7" w:rsidRPr="00D64E6A">
        <w:t>de su sitio web, dentro de la página de internet del Instituto Nacional Electoral.</w:t>
      </w:r>
    </w:p>
    <w:p w14:paraId="2C1B8D4F" w14:textId="77777777" w:rsidR="00B46E1C" w:rsidRPr="00D64E6A" w:rsidRDefault="00B46E1C" w:rsidP="00B46E1C"/>
    <w:p w14:paraId="2C1B8D50" w14:textId="77777777" w:rsidR="003D13C7" w:rsidRPr="00D64E6A" w:rsidRDefault="00FE009E" w:rsidP="003D13C7">
      <w:r w:rsidRPr="00D64E6A">
        <w:t>El rediseño tuvo como</w:t>
      </w:r>
      <w:r w:rsidR="003D13C7" w:rsidRPr="00D64E6A">
        <w:t xml:space="preserve"> </w:t>
      </w:r>
      <w:r w:rsidRPr="00D64E6A">
        <w:t>finalidad no sólo</w:t>
      </w:r>
      <w:r w:rsidR="00592E98" w:rsidRPr="00D64E6A">
        <w:t xml:space="preserve"> facilitar las labores institucionales, sino </w:t>
      </w:r>
      <w:r w:rsidR="003E0F65" w:rsidRPr="00D64E6A">
        <w:t>ampliar</w:t>
      </w:r>
      <w:r w:rsidR="00592E98" w:rsidRPr="00D64E6A">
        <w:t xml:space="preserve"> la transparencia del quehacer cotidiano del Comité, de manera que todo interesado </w:t>
      </w:r>
      <w:r w:rsidRPr="00D64E6A">
        <w:t>pueda tener acceso</w:t>
      </w:r>
      <w:r w:rsidR="00592E98" w:rsidRPr="00D64E6A">
        <w:t xml:space="preserve"> a la información atinente</w:t>
      </w:r>
      <w:r w:rsidR="0033233A" w:rsidRPr="00D64E6A">
        <w:t>,</w:t>
      </w:r>
      <w:r w:rsidR="00592E98" w:rsidRPr="00D64E6A">
        <w:t xml:space="preserve"> </w:t>
      </w:r>
      <w:r w:rsidR="0033233A" w:rsidRPr="00D64E6A">
        <w:t xml:space="preserve">mejorando su experiencia de navegación </w:t>
      </w:r>
      <w:r w:rsidRPr="00D64E6A">
        <w:t>con</w:t>
      </w:r>
      <w:r w:rsidR="0033233A" w:rsidRPr="00D64E6A">
        <w:t xml:space="preserve"> </w:t>
      </w:r>
      <w:r w:rsidR="003D13C7" w:rsidRPr="00D64E6A">
        <w:t xml:space="preserve">un diseño </w:t>
      </w:r>
      <w:r w:rsidR="0033233A" w:rsidRPr="00D64E6A">
        <w:t>amigable que facilit</w:t>
      </w:r>
      <w:r w:rsidRPr="00D64E6A">
        <w:t>e</w:t>
      </w:r>
      <w:r w:rsidR="003D13C7" w:rsidRPr="00D64E6A">
        <w:t xml:space="preserve"> la ubicación de temas y contenidos</w:t>
      </w:r>
      <w:r w:rsidR="0033233A" w:rsidRPr="00D64E6A">
        <w:t xml:space="preserve">, e incorporando </w:t>
      </w:r>
      <w:r w:rsidR="003D13C7" w:rsidRPr="00D64E6A">
        <w:t>aplicaciones para facilitar la búsqueda de información.</w:t>
      </w:r>
    </w:p>
    <w:p w14:paraId="2C1B8D51" w14:textId="77777777" w:rsidR="00656ACB" w:rsidRPr="00D64E6A" w:rsidRDefault="00656ACB" w:rsidP="003D13C7"/>
    <w:p w14:paraId="2C1B8D52" w14:textId="77777777" w:rsidR="00456C8B" w:rsidRPr="00D64E6A" w:rsidRDefault="00925765" w:rsidP="007E3EBE">
      <w:pPr>
        <w:pStyle w:val="Ttulo2"/>
      </w:pPr>
      <w:bookmarkStart w:id="26" w:name="_Toc460517122"/>
      <w:r w:rsidRPr="00D64E6A">
        <w:rPr>
          <w:lang w:val="es-MX"/>
        </w:rPr>
        <w:t>III.</w:t>
      </w:r>
      <w:r w:rsidR="00C432D6" w:rsidRPr="00D64E6A">
        <w:rPr>
          <w:lang w:val="es-MX"/>
        </w:rPr>
        <w:t>4</w:t>
      </w:r>
      <w:r w:rsidR="00693165" w:rsidRPr="00D64E6A">
        <w:t>.</w:t>
      </w:r>
      <w:r w:rsidR="00693165" w:rsidRPr="00D64E6A">
        <w:tab/>
      </w:r>
      <w:r w:rsidR="00456C8B" w:rsidRPr="00D64E6A">
        <w:t>Pautas de reposición</w:t>
      </w:r>
      <w:bookmarkEnd w:id="26"/>
    </w:p>
    <w:p w14:paraId="2C1B8D53" w14:textId="77777777" w:rsidR="00456C8B" w:rsidRPr="00D64E6A" w:rsidRDefault="00456C8B" w:rsidP="00B46E1C"/>
    <w:p w14:paraId="2C1B8D54" w14:textId="77777777" w:rsidR="00B77371" w:rsidRPr="00D64E6A" w:rsidRDefault="007710D5" w:rsidP="00B77371">
      <w:r w:rsidRPr="00D64E6A">
        <w:t>También e</w:t>
      </w:r>
      <w:r w:rsidR="00B77371" w:rsidRPr="00D64E6A">
        <w:t xml:space="preserve">n </w:t>
      </w:r>
      <w:r w:rsidRPr="00D64E6A">
        <w:t xml:space="preserve">la Octava Sesión Ordinaria </w:t>
      </w:r>
      <w:r w:rsidR="00B77371" w:rsidRPr="00D64E6A">
        <w:t xml:space="preserve">de 2015, este Comité conoció un informe sobre </w:t>
      </w:r>
      <w:r w:rsidR="00FE009E" w:rsidRPr="00D64E6A">
        <w:t>el número de</w:t>
      </w:r>
      <w:r w:rsidR="00B77371" w:rsidRPr="00D64E6A">
        <w:t xml:space="preserve"> pautas de reposición ordenadas por el Consejo General</w:t>
      </w:r>
      <w:r w:rsidR="00FE009E" w:rsidRPr="00D64E6A">
        <w:t xml:space="preserve"> en los años 2008, 2009 y 2010,</w:t>
      </w:r>
      <w:r w:rsidR="00B77371" w:rsidRPr="00D64E6A">
        <w:t xml:space="preserve"> como resultado de la imposición de sanciones a concesionarios de radio y televisión, a efecto de tomar determinaciones sobre la emisión de una propuesta de reprogramación.</w:t>
      </w:r>
    </w:p>
    <w:p w14:paraId="2C1B8D55" w14:textId="77777777" w:rsidR="00B77371" w:rsidRPr="00D64E6A" w:rsidRDefault="00B77371" w:rsidP="00B77371"/>
    <w:p w14:paraId="2C1B8D56" w14:textId="77777777" w:rsidR="00FE644C" w:rsidRPr="00D64E6A" w:rsidRDefault="00B77371" w:rsidP="00B77371">
      <w:r w:rsidRPr="00D64E6A">
        <w:t>En esa misma sesión, el Comité acordó que</w:t>
      </w:r>
      <w:r w:rsidR="00FE009E" w:rsidRPr="00D64E6A">
        <w:t>,</w:t>
      </w:r>
      <w:r w:rsidRPr="00D64E6A">
        <w:t xml:space="preserve"> en la sesión ordinaria correspondiente al mes de noviembre de 2015</w:t>
      </w:r>
      <w:r w:rsidR="00FE009E" w:rsidRPr="00D64E6A">
        <w:t>, debía elaborarse</w:t>
      </w:r>
      <w:r w:rsidRPr="00D64E6A">
        <w:t xml:space="preserve"> un proyecto de Acuerdo </w:t>
      </w:r>
      <w:r w:rsidR="00FE009E" w:rsidRPr="00D64E6A">
        <w:t xml:space="preserve">para someterlo </w:t>
      </w:r>
      <w:r w:rsidRPr="00D64E6A">
        <w:t xml:space="preserve">a consideración del Consejo General, </w:t>
      </w:r>
      <w:r w:rsidR="00FE009E" w:rsidRPr="00D64E6A">
        <w:t>respecto de ese</w:t>
      </w:r>
      <w:r w:rsidR="00C17EE1" w:rsidRPr="00D64E6A">
        <w:t xml:space="preserve"> tema.</w:t>
      </w:r>
    </w:p>
    <w:p w14:paraId="2C1B8D57" w14:textId="77777777" w:rsidR="00FE644C" w:rsidRPr="00D64E6A" w:rsidRDefault="00FE644C" w:rsidP="0031090D"/>
    <w:p w14:paraId="2C1B8D58" w14:textId="77777777" w:rsidR="00FE644C" w:rsidRPr="00D64E6A" w:rsidRDefault="0031090D" w:rsidP="0031090D">
      <w:r w:rsidRPr="00D64E6A">
        <w:t>Conforme a lo anterior, el Comité aprobó en su Sesión Ordinaria del 30 de noviembre, el proyecto de Acuerdo del Consejo General por el que se emite un criterio general para la reposición de omisiones o deficiencias en las transmisiones derivadas de diversas resoluciones emitidas por el mismo, y se aprueban las pautas de reposición para concesionarios y permisionarios.</w:t>
      </w:r>
    </w:p>
    <w:p w14:paraId="2C1B8D59" w14:textId="77777777" w:rsidR="00FE644C" w:rsidRPr="00D64E6A" w:rsidRDefault="00FE644C" w:rsidP="0031090D"/>
    <w:p w14:paraId="2C1B8D5A" w14:textId="77777777" w:rsidR="00F27D85" w:rsidRPr="00D64E6A" w:rsidRDefault="00F27D85" w:rsidP="00F27D85">
      <w:r w:rsidRPr="00D64E6A">
        <w:t xml:space="preserve">Este proyecto fue aprobado por el órgano máximo de dirección del Instituto en sesión extraordinaria del 9 de diciembre de 2015, </w:t>
      </w:r>
      <w:r w:rsidR="00700584" w:rsidRPr="00D64E6A">
        <w:t xml:space="preserve">mediante Acuerdo identificado con la clave INE/CG1008/2015, </w:t>
      </w:r>
      <w:r w:rsidRPr="00D64E6A">
        <w:t>ordenando a este Comité elaborar y aprobar las pautas de reposición para los concesionarios y permisionarios obligados a su realización.</w:t>
      </w:r>
    </w:p>
    <w:p w14:paraId="2C1B8D5B" w14:textId="77777777" w:rsidR="00F27D85" w:rsidRPr="00D64E6A" w:rsidRDefault="00F27D85" w:rsidP="00F27D85"/>
    <w:p w14:paraId="2C1B8D5C" w14:textId="77777777" w:rsidR="00DA27D5" w:rsidRPr="00D64E6A" w:rsidRDefault="00F27D85" w:rsidP="00F27D85">
      <w:r w:rsidRPr="00D64E6A">
        <w:t>En consecuencia, en la Décima Segunda Sesión Ordinaria, celebrada el 17 de diciembre de 2015, el Comité emitió el Acuerdo por el que se aprobaron las pautas de reposición correspondientes a los años 2008, 2009 y 2010, identificado con la clave INE/ACRT/57/2015.</w:t>
      </w:r>
    </w:p>
    <w:p w14:paraId="2C1B8D5D" w14:textId="77777777" w:rsidR="007710D5" w:rsidRPr="00D64E6A" w:rsidRDefault="007710D5" w:rsidP="00F27D85"/>
    <w:p w14:paraId="2C1B8D5E" w14:textId="77777777" w:rsidR="001F4500" w:rsidRPr="00D64E6A" w:rsidRDefault="00700584" w:rsidP="001F4500">
      <w:r w:rsidRPr="00D64E6A">
        <w:t xml:space="preserve">Sin embargo, mediante sentencia del 27 de enero de 2016, recaída al Recurso de Apelación identificado con la clave </w:t>
      </w:r>
      <w:r w:rsidR="00656ACB" w:rsidRPr="00D64E6A">
        <w:t>SUP-RAP-815/2016, la Sala Superior del Tribunal Electoral del Poder Judicial de la Federación revocó</w:t>
      </w:r>
      <w:r w:rsidRPr="00D64E6A">
        <w:t xml:space="preserve"> el </w:t>
      </w:r>
      <w:r w:rsidR="00656ACB" w:rsidRPr="00D64E6A">
        <w:t xml:space="preserve">Acuerdo </w:t>
      </w:r>
      <w:r w:rsidRPr="00D64E6A">
        <w:t xml:space="preserve">INE/CG1008/2015, </w:t>
      </w:r>
      <w:r w:rsidR="00656ACB" w:rsidRPr="00D64E6A">
        <w:t xml:space="preserve">así como el Acuerdo INE/ACRT/57/2015, así como los demás actos administrativos </w:t>
      </w:r>
      <w:r w:rsidRPr="00D64E6A">
        <w:t>que instrumentaron la orden de reposición.</w:t>
      </w:r>
    </w:p>
    <w:p w14:paraId="2C1B8D5F" w14:textId="77777777" w:rsidR="00C432D6" w:rsidRPr="00D64E6A" w:rsidRDefault="00C432D6" w:rsidP="001F4500"/>
    <w:p w14:paraId="2C1B8D60" w14:textId="77777777" w:rsidR="00C432D6" w:rsidRPr="00D64E6A" w:rsidRDefault="00925765" w:rsidP="00C432D6">
      <w:pPr>
        <w:pStyle w:val="Ttulo2"/>
        <w:rPr>
          <w:lang w:val="es-MX"/>
        </w:rPr>
      </w:pPr>
      <w:bookmarkStart w:id="27" w:name="_Toc460517123"/>
      <w:r w:rsidRPr="00D64E6A">
        <w:rPr>
          <w:lang w:val="es-MX"/>
        </w:rPr>
        <w:t>III.</w:t>
      </w:r>
      <w:r w:rsidR="00607539" w:rsidRPr="00D64E6A">
        <w:rPr>
          <w:lang w:val="es-MX"/>
        </w:rPr>
        <w:t>5</w:t>
      </w:r>
      <w:r w:rsidR="00C432D6" w:rsidRPr="00D64E6A">
        <w:t>.</w:t>
      </w:r>
      <w:r w:rsidR="00C432D6" w:rsidRPr="00D64E6A">
        <w:tab/>
      </w:r>
      <w:r w:rsidR="00607539" w:rsidRPr="00D64E6A">
        <w:rPr>
          <w:lang w:val="es-MX"/>
        </w:rPr>
        <w:t>Candidatos independientes</w:t>
      </w:r>
      <w:bookmarkEnd w:id="27"/>
    </w:p>
    <w:p w14:paraId="2C1B8D61" w14:textId="77777777" w:rsidR="00C432D6" w:rsidRPr="00D64E6A" w:rsidRDefault="00C432D6" w:rsidP="001F4500"/>
    <w:p w14:paraId="2C1B8D62" w14:textId="77777777" w:rsidR="008157D8" w:rsidRPr="00D64E6A" w:rsidRDefault="00C06D82" w:rsidP="001F4500">
      <w:r w:rsidRPr="00D64E6A">
        <w:t>En la 7ª Sesión Ordinaria de 2016, celebrada el 21 de julio, el Comité conoció un informe sobre el uso de la prerrogativa de acceso a radio y televisión por parte de los candidatos independientes que contendieron en los Procesos Electorales Locales 2015 -2016 y la elección para integrar la Asamblea Constituyente de la Ciudad de México</w:t>
      </w:r>
    </w:p>
    <w:p w14:paraId="2C1B8D63" w14:textId="77777777" w:rsidR="008157D8" w:rsidRPr="00D64E6A" w:rsidRDefault="008157D8" w:rsidP="001F4500"/>
    <w:p w14:paraId="2C1B8D64" w14:textId="77777777" w:rsidR="00786650" w:rsidRPr="00D64E6A" w:rsidRDefault="00786650" w:rsidP="00786650">
      <w:r w:rsidRPr="00D64E6A">
        <w:t>Este informe dio cuenta, entre otros aspectos, de que todos los promocionales de radio y televisión de los candidatos independientes registrados se recibieron, por primera vez, mediante el Sistema electrónico ya comentado en el presente informe.</w:t>
      </w:r>
    </w:p>
    <w:p w14:paraId="2C1B8D65" w14:textId="77777777" w:rsidR="00786650" w:rsidRPr="00D64E6A" w:rsidRDefault="00786650" w:rsidP="00786650"/>
    <w:p w14:paraId="2C1B8D66" w14:textId="77777777" w:rsidR="00786650" w:rsidRPr="00D64E6A" w:rsidRDefault="00786650" w:rsidP="00786650">
      <w:r w:rsidRPr="00D64E6A">
        <w:t>Asimismo, se reportó que los Candidatos Independientes de cada entidad federativa entregaron sus materiales al Organismo Público Local Electoral, mismo que los remitió a través del Sistema electrónico al INE para su calificación técnica, a fin de emitir el dictamen correspondiente en los plazos y términos que el propio Instituto determinó; así como la instrucción de transmisión, para los promocionales que cumplieron con las características técnicas requeridas.</w:t>
      </w:r>
    </w:p>
    <w:p w14:paraId="2C1B8D67" w14:textId="77777777" w:rsidR="00786650" w:rsidRPr="00D64E6A" w:rsidRDefault="00786650" w:rsidP="00786650"/>
    <w:p w14:paraId="2C1B8D68" w14:textId="77777777" w:rsidR="00786650" w:rsidRPr="00D64E6A" w:rsidRDefault="00786650" w:rsidP="00786650">
      <w:r w:rsidRPr="00D64E6A">
        <w:t>Asimismo, se reportó que en los procesos electorales locales 2015-2016 y la elección para integrar la Asamblea Constituyente de la Ciudad de México, se gestionó el acceso a radio y televisión de 303 Candidatos Independientes registrados, suceso sin precedentes.</w:t>
      </w:r>
    </w:p>
    <w:p w14:paraId="2C1B8D69" w14:textId="77777777" w:rsidR="00823E05" w:rsidRPr="00D64E6A" w:rsidRDefault="00823E05" w:rsidP="00786650"/>
    <w:p w14:paraId="2C1B8D6A" w14:textId="77777777" w:rsidR="00786650" w:rsidRPr="00D64E6A" w:rsidRDefault="00823E05" w:rsidP="00786650">
      <w:r w:rsidRPr="00D64E6A">
        <w:t xml:space="preserve">De igual forma, en dichos </w:t>
      </w:r>
      <w:r w:rsidR="00786650" w:rsidRPr="00D64E6A">
        <w:t>procesos se enviaron y recibieron las comunicaciones necesarias con los Organismos Públicos Locales Electorales mediante la Unidad Técnica de Vinculación para guiar e informar a los funcionarios responsables sobre los procedimientos de acceso a radio y televisión y recibir la información sobre los registros otorgados. El INE remitió el usuario y contraseña para el uso del Sistema Electrónico a cada candidato independiente, incluidos los derivados de acatamientos a sentencias; las 14 entidades en proceso electoral registraron al menos un Candidato Independiente; de ellas, Oaxaca alcanzó un máximo de 47 registrados, en comparación con el resto de las entidades, mient</w:t>
      </w:r>
      <w:r w:rsidRPr="00D64E6A">
        <w:t>ras que Puebla registró sólo 1.</w:t>
      </w:r>
    </w:p>
    <w:p w14:paraId="2C1B8D6B" w14:textId="77777777" w:rsidR="00823E05" w:rsidRPr="00D64E6A" w:rsidRDefault="00823E05" w:rsidP="00786650"/>
    <w:p w14:paraId="2C1B8D6C" w14:textId="77777777" w:rsidR="00786650" w:rsidRPr="00D64E6A" w:rsidRDefault="00823E05" w:rsidP="00786650">
      <w:r w:rsidRPr="00D64E6A">
        <w:t>Como d</w:t>
      </w:r>
      <w:r w:rsidR="00786650" w:rsidRPr="00D64E6A">
        <w:t xml:space="preserve">atos </w:t>
      </w:r>
      <w:r w:rsidRPr="00D64E6A">
        <w:t>r</w:t>
      </w:r>
      <w:r w:rsidR="00786650" w:rsidRPr="00D64E6A">
        <w:t>elevantes</w:t>
      </w:r>
      <w:r w:rsidRPr="00D64E6A">
        <w:t>, el Informe anotó los siguientes:</w:t>
      </w:r>
    </w:p>
    <w:p w14:paraId="2C1B8D6D" w14:textId="77777777" w:rsidR="00823E05" w:rsidRPr="00D64E6A" w:rsidRDefault="00823E05" w:rsidP="00786650"/>
    <w:tbl>
      <w:tblPr>
        <w:tblStyle w:val="Tablanormal4"/>
        <w:tblW w:w="0" w:type="auto"/>
        <w:jc w:val="cente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80" w:firstRow="0" w:lastRow="0" w:firstColumn="1" w:lastColumn="0" w:noHBand="0" w:noVBand="1"/>
      </w:tblPr>
      <w:tblGrid>
        <w:gridCol w:w="5808"/>
        <w:gridCol w:w="1720"/>
      </w:tblGrid>
      <w:tr w:rsidR="00823E05" w:rsidRPr="00D64E6A" w14:paraId="2C1B8D6F" w14:textId="77777777" w:rsidTr="00823E05">
        <w:trPr>
          <w:cnfStyle w:val="000000100000" w:firstRow="0" w:lastRow="0" w:firstColumn="0" w:lastColumn="0" w:oddVBand="0" w:evenVBand="0" w:oddHBand="1" w:evenHBand="0" w:firstRowFirstColumn="0" w:firstRowLastColumn="0" w:lastRowFirstColumn="0" w:lastRowLastColumn="0"/>
          <w:trHeight w:val="344"/>
          <w:jc w:val="center"/>
        </w:trPr>
        <w:tc>
          <w:tcPr>
            <w:cnfStyle w:val="001000000000" w:firstRow="0" w:lastRow="0" w:firstColumn="1" w:lastColumn="0" w:oddVBand="0" w:evenVBand="0" w:oddHBand="0" w:evenHBand="0" w:firstRowFirstColumn="0" w:firstRowLastColumn="0" w:lastRowFirstColumn="0" w:lastRowLastColumn="0"/>
            <w:tcW w:w="752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3399"/>
            <w:vAlign w:val="center"/>
            <w:hideMark/>
          </w:tcPr>
          <w:p w14:paraId="2C1B8D6E" w14:textId="77777777" w:rsidR="00823E05" w:rsidRPr="00D64E6A" w:rsidRDefault="00823E05" w:rsidP="00823E05">
            <w:pPr>
              <w:jc w:val="center"/>
              <w:rPr>
                <w:rFonts w:ascii="Calibri" w:hAnsi="Calibri" w:cs="Arial"/>
                <w:color w:val="000000" w:themeColor="text1"/>
                <w:sz w:val="22"/>
              </w:rPr>
            </w:pPr>
            <w:r w:rsidRPr="00D64E6A">
              <w:rPr>
                <w:rFonts w:ascii="Calibri" w:hAnsi="Calibri" w:cs="Arial"/>
                <w:color w:val="FFFFFF" w:themeColor="background1"/>
                <w:sz w:val="22"/>
              </w:rPr>
              <w:t>Datos Relevantes</w:t>
            </w:r>
          </w:p>
        </w:tc>
      </w:tr>
      <w:tr w:rsidR="00823E05" w:rsidRPr="00D64E6A" w14:paraId="2C1B8D72" w14:textId="77777777" w:rsidTr="00823E05">
        <w:trPr>
          <w:trHeight w:val="344"/>
          <w:jc w:val="center"/>
        </w:trPr>
        <w:tc>
          <w:tcPr>
            <w:cnfStyle w:val="001000000000" w:firstRow="0" w:lastRow="0" w:firstColumn="1" w:lastColumn="0" w:oddVBand="0" w:evenVBand="0" w:oddHBand="0" w:evenHBand="0" w:firstRowFirstColumn="0" w:firstRowLastColumn="0" w:lastRowFirstColumn="0" w:lastRowLastColumn="0"/>
            <w:tcW w:w="58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vAlign w:val="center"/>
            <w:hideMark/>
          </w:tcPr>
          <w:p w14:paraId="2C1B8D70" w14:textId="77777777" w:rsidR="00823E05" w:rsidRPr="00D64E6A" w:rsidRDefault="00823E05" w:rsidP="00823E05">
            <w:pPr>
              <w:jc w:val="left"/>
              <w:rPr>
                <w:rFonts w:ascii="Calibri" w:hAnsi="Calibri" w:cs="Arial"/>
                <w:color w:val="000000" w:themeColor="text1"/>
                <w:sz w:val="22"/>
              </w:rPr>
            </w:pPr>
            <w:r w:rsidRPr="00D64E6A">
              <w:rPr>
                <w:rFonts w:ascii="Calibri" w:hAnsi="Calibri" w:cs="Arial"/>
                <w:color w:val="000000" w:themeColor="text1"/>
                <w:sz w:val="22"/>
              </w:rPr>
              <w:t>CI registrados</w:t>
            </w:r>
          </w:p>
        </w:tc>
        <w:tc>
          <w:tcPr>
            <w:tcW w:w="1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4D5" w:themeFill="accent2" w:themeFillTint="33"/>
            <w:vAlign w:val="center"/>
            <w:hideMark/>
          </w:tcPr>
          <w:p w14:paraId="2C1B8D71" w14:textId="77777777" w:rsidR="00823E05" w:rsidRPr="00D64E6A" w:rsidRDefault="00823E05" w:rsidP="00823E05">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text1"/>
                <w:sz w:val="22"/>
              </w:rPr>
            </w:pPr>
            <w:r w:rsidRPr="00D64E6A">
              <w:rPr>
                <w:rFonts w:ascii="Calibri" w:hAnsi="Calibri" w:cs="Arial"/>
                <w:color w:val="000000" w:themeColor="text1"/>
                <w:sz w:val="22"/>
              </w:rPr>
              <w:t>303</w:t>
            </w:r>
          </w:p>
        </w:tc>
      </w:tr>
      <w:tr w:rsidR="00823E05" w:rsidRPr="00D64E6A" w14:paraId="2C1B8D75" w14:textId="77777777" w:rsidTr="00823E05">
        <w:trPr>
          <w:cnfStyle w:val="000000100000" w:firstRow="0" w:lastRow="0" w:firstColumn="0" w:lastColumn="0" w:oddVBand="0" w:evenVBand="0" w:oddHBand="1"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58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vAlign w:val="center"/>
            <w:hideMark/>
          </w:tcPr>
          <w:p w14:paraId="2C1B8D73" w14:textId="77777777" w:rsidR="00823E05" w:rsidRPr="00D64E6A" w:rsidRDefault="00823E05" w:rsidP="00823E05">
            <w:pPr>
              <w:jc w:val="left"/>
              <w:rPr>
                <w:rFonts w:ascii="Calibri" w:hAnsi="Calibri" w:cs="Arial"/>
                <w:color w:val="000000" w:themeColor="text1"/>
                <w:sz w:val="22"/>
              </w:rPr>
            </w:pPr>
            <w:r w:rsidRPr="00D64E6A">
              <w:rPr>
                <w:rFonts w:ascii="Calibri" w:hAnsi="Calibri" w:cs="Arial"/>
                <w:color w:val="000000" w:themeColor="text1"/>
                <w:sz w:val="22"/>
              </w:rPr>
              <w:t>CI que registraron materiales</w:t>
            </w:r>
          </w:p>
        </w:tc>
        <w:tc>
          <w:tcPr>
            <w:tcW w:w="1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4D5" w:themeFill="accent2" w:themeFillTint="33"/>
            <w:vAlign w:val="center"/>
            <w:hideMark/>
          </w:tcPr>
          <w:p w14:paraId="2C1B8D74" w14:textId="77777777" w:rsidR="00823E05" w:rsidRPr="00D64E6A" w:rsidRDefault="00823E05" w:rsidP="00823E05">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themeColor="text1"/>
                <w:sz w:val="22"/>
              </w:rPr>
            </w:pPr>
            <w:r w:rsidRPr="00D64E6A">
              <w:rPr>
                <w:rFonts w:ascii="Calibri" w:hAnsi="Calibri" w:cs="Arial"/>
                <w:color w:val="000000" w:themeColor="text1"/>
                <w:sz w:val="22"/>
              </w:rPr>
              <w:t>82</w:t>
            </w:r>
          </w:p>
        </w:tc>
      </w:tr>
      <w:tr w:rsidR="00823E05" w:rsidRPr="00D64E6A" w14:paraId="2C1B8D78" w14:textId="77777777" w:rsidTr="00823E05">
        <w:trPr>
          <w:trHeight w:val="348"/>
          <w:jc w:val="center"/>
        </w:trPr>
        <w:tc>
          <w:tcPr>
            <w:cnfStyle w:val="001000000000" w:firstRow="0" w:lastRow="0" w:firstColumn="1" w:lastColumn="0" w:oddVBand="0" w:evenVBand="0" w:oddHBand="0" w:evenHBand="0" w:firstRowFirstColumn="0" w:firstRowLastColumn="0" w:lastRowFirstColumn="0" w:lastRowLastColumn="0"/>
            <w:tcW w:w="58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vAlign w:val="center"/>
            <w:hideMark/>
          </w:tcPr>
          <w:p w14:paraId="2C1B8D76" w14:textId="77777777" w:rsidR="00823E05" w:rsidRPr="00D64E6A" w:rsidRDefault="00823E05" w:rsidP="00823E05">
            <w:pPr>
              <w:jc w:val="left"/>
              <w:rPr>
                <w:rFonts w:ascii="Calibri" w:hAnsi="Calibri" w:cs="Arial"/>
                <w:color w:val="000000" w:themeColor="text1"/>
                <w:sz w:val="22"/>
              </w:rPr>
            </w:pPr>
            <w:r w:rsidRPr="00D64E6A">
              <w:rPr>
                <w:rFonts w:ascii="Calibri" w:hAnsi="Calibri" w:cs="Arial"/>
                <w:color w:val="000000" w:themeColor="text1"/>
                <w:sz w:val="22"/>
              </w:rPr>
              <w:t>Total de materiales registrados</w:t>
            </w:r>
          </w:p>
        </w:tc>
        <w:tc>
          <w:tcPr>
            <w:tcW w:w="1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4D5" w:themeFill="accent2" w:themeFillTint="33"/>
            <w:vAlign w:val="center"/>
            <w:hideMark/>
          </w:tcPr>
          <w:p w14:paraId="2C1B8D77" w14:textId="77777777" w:rsidR="00823E05" w:rsidRPr="00D64E6A" w:rsidRDefault="00823E05" w:rsidP="00823E05">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text1"/>
                <w:sz w:val="22"/>
              </w:rPr>
            </w:pPr>
            <w:r w:rsidRPr="00D64E6A">
              <w:rPr>
                <w:rFonts w:ascii="Calibri" w:hAnsi="Calibri" w:cs="Arial"/>
                <w:color w:val="000000" w:themeColor="text1"/>
                <w:sz w:val="22"/>
              </w:rPr>
              <w:t>277</w:t>
            </w:r>
          </w:p>
        </w:tc>
      </w:tr>
      <w:tr w:rsidR="00823E05" w:rsidRPr="00D64E6A" w14:paraId="2C1B8D7B" w14:textId="77777777" w:rsidTr="00823E05">
        <w:trPr>
          <w:cnfStyle w:val="000000100000" w:firstRow="0" w:lastRow="0" w:firstColumn="0" w:lastColumn="0" w:oddVBand="0" w:evenVBand="0" w:oddHBand="1" w:evenHBand="0" w:firstRowFirstColumn="0" w:firstRowLastColumn="0" w:lastRowFirstColumn="0" w:lastRowLastColumn="0"/>
          <w:trHeight w:val="334"/>
          <w:jc w:val="center"/>
        </w:trPr>
        <w:tc>
          <w:tcPr>
            <w:cnfStyle w:val="001000000000" w:firstRow="0" w:lastRow="0" w:firstColumn="1" w:lastColumn="0" w:oddVBand="0" w:evenVBand="0" w:oddHBand="0" w:evenHBand="0" w:firstRowFirstColumn="0" w:firstRowLastColumn="0" w:lastRowFirstColumn="0" w:lastRowLastColumn="0"/>
            <w:tcW w:w="58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vAlign w:val="center"/>
            <w:hideMark/>
          </w:tcPr>
          <w:p w14:paraId="2C1B8D79" w14:textId="77777777" w:rsidR="00823E05" w:rsidRPr="00D64E6A" w:rsidRDefault="00823E05" w:rsidP="00823E05">
            <w:pPr>
              <w:jc w:val="left"/>
              <w:rPr>
                <w:rFonts w:ascii="Calibri" w:hAnsi="Calibri" w:cs="Arial"/>
                <w:color w:val="000000" w:themeColor="text1"/>
                <w:sz w:val="22"/>
              </w:rPr>
            </w:pPr>
            <w:r w:rsidRPr="00D64E6A">
              <w:rPr>
                <w:rFonts w:ascii="Calibri" w:hAnsi="Calibri" w:cs="Arial"/>
                <w:color w:val="000000" w:themeColor="text1"/>
                <w:sz w:val="22"/>
              </w:rPr>
              <w:t>Total de materiales calificados técnicamente como óptimos</w:t>
            </w:r>
          </w:p>
        </w:tc>
        <w:tc>
          <w:tcPr>
            <w:tcW w:w="1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4D5" w:themeFill="accent2" w:themeFillTint="33"/>
            <w:vAlign w:val="center"/>
            <w:hideMark/>
          </w:tcPr>
          <w:p w14:paraId="2C1B8D7A" w14:textId="77777777" w:rsidR="00823E05" w:rsidRPr="00D64E6A" w:rsidRDefault="00823E05" w:rsidP="00823E05">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themeColor="text1"/>
                <w:sz w:val="22"/>
              </w:rPr>
            </w:pPr>
            <w:r w:rsidRPr="00D64E6A">
              <w:rPr>
                <w:rFonts w:ascii="Calibri" w:hAnsi="Calibri" w:cs="Arial"/>
                <w:color w:val="000000" w:themeColor="text1"/>
                <w:sz w:val="22"/>
              </w:rPr>
              <w:t>216</w:t>
            </w:r>
          </w:p>
        </w:tc>
      </w:tr>
      <w:tr w:rsidR="00823E05" w:rsidRPr="00D64E6A" w14:paraId="2C1B8D7E" w14:textId="77777777" w:rsidTr="00823E05">
        <w:trPr>
          <w:trHeight w:val="362"/>
          <w:jc w:val="center"/>
        </w:trPr>
        <w:tc>
          <w:tcPr>
            <w:cnfStyle w:val="001000000000" w:firstRow="0" w:lastRow="0" w:firstColumn="1" w:lastColumn="0" w:oddVBand="0" w:evenVBand="0" w:oddHBand="0" w:evenHBand="0" w:firstRowFirstColumn="0" w:firstRowLastColumn="0" w:lastRowFirstColumn="0" w:lastRowLastColumn="0"/>
            <w:tcW w:w="58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vAlign w:val="center"/>
            <w:hideMark/>
          </w:tcPr>
          <w:p w14:paraId="2C1B8D7C" w14:textId="77777777" w:rsidR="00823E05" w:rsidRPr="00D64E6A" w:rsidRDefault="00823E05" w:rsidP="00823E05">
            <w:pPr>
              <w:jc w:val="left"/>
              <w:rPr>
                <w:rFonts w:ascii="Calibri" w:hAnsi="Calibri" w:cs="Arial"/>
                <w:color w:val="000000" w:themeColor="text1"/>
                <w:sz w:val="22"/>
              </w:rPr>
            </w:pPr>
            <w:r w:rsidRPr="00D64E6A">
              <w:rPr>
                <w:rFonts w:ascii="Calibri" w:hAnsi="Calibri" w:cs="Arial"/>
                <w:color w:val="000000" w:themeColor="text1"/>
                <w:sz w:val="22"/>
              </w:rPr>
              <w:t>Total de promocionales pautados para los CI</w:t>
            </w:r>
          </w:p>
        </w:tc>
        <w:tc>
          <w:tcPr>
            <w:tcW w:w="1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4D5" w:themeFill="accent2" w:themeFillTint="33"/>
            <w:vAlign w:val="center"/>
            <w:hideMark/>
          </w:tcPr>
          <w:p w14:paraId="2C1B8D7D" w14:textId="77777777" w:rsidR="00823E05" w:rsidRPr="00D64E6A" w:rsidRDefault="00823E05" w:rsidP="00823E05">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text1"/>
                <w:sz w:val="22"/>
              </w:rPr>
            </w:pPr>
            <w:r w:rsidRPr="00D64E6A">
              <w:rPr>
                <w:rFonts w:ascii="Calibri" w:hAnsi="Calibri" w:cs="Arial"/>
                <w:color w:val="000000" w:themeColor="text1"/>
                <w:sz w:val="22"/>
              </w:rPr>
              <w:t>151,313</w:t>
            </w:r>
          </w:p>
        </w:tc>
      </w:tr>
    </w:tbl>
    <w:p w14:paraId="2C1B8D7F" w14:textId="77777777" w:rsidR="00786650" w:rsidRPr="00D64E6A" w:rsidRDefault="00786650" w:rsidP="00786650"/>
    <w:p w14:paraId="2C1B8D80" w14:textId="77777777" w:rsidR="00786650" w:rsidRPr="00D64E6A" w:rsidRDefault="00786650" w:rsidP="00786650">
      <w:r w:rsidRPr="00D64E6A">
        <w:t xml:space="preserve">Además, </w:t>
      </w:r>
      <w:r w:rsidR="00823E05" w:rsidRPr="00D64E6A">
        <w:t>el Informe destacó que</w:t>
      </w:r>
      <w:r w:rsidRPr="00D64E6A">
        <w:t>:</w:t>
      </w:r>
    </w:p>
    <w:p w14:paraId="2C1B8D81" w14:textId="77777777" w:rsidR="00786650" w:rsidRPr="00D64E6A" w:rsidRDefault="00786650" w:rsidP="00786650"/>
    <w:p w14:paraId="2C1B8D82" w14:textId="77777777" w:rsidR="00786650" w:rsidRPr="00D64E6A" w:rsidRDefault="00786650" w:rsidP="00823E05">
      <w:pPr>
        <w:pStyle w:val="Prrafodelista"/>
        <w:numPr>
          <w:ilvl w:val="0"/>
          <w:numId w:val="9"/>
        </w:numPr>
        <w:rPr>
          <w:rFonts w:ascii="Arial" w:hAnsi="Arial" w:cs="Arial"/>
          <w:sz w:val="24"/>
          <w:szCs w:val="24"/>
        </w:rPr>
      </w:pPr>
      <w:r w:rsidRPr="00D64E6A">
        <w:rPr>
          <w:rFonts w:ascii="Arial" w:hAnsi="Arial" w:cs="Arial"/>
          <w:sz w:val="24"/>
          <w:szCs w:val="24"/>
        </w:rPr>
        <w:t>No todos los CI utilizaron su prerrogativa en radio y televisión.</w:t>
      </w:r>
    </w:p>
    <w:p w14:paraId="2C1B8D83" w14:textId="77777777" w:rsidR="00786650" w:rsidRPr="00D64E6A" w:rsidRDefault="00786650" w:rsidP="00823E05">
      <w:pPr>
        <w:pStyle w:val="Prrafodelista"/>
        <w:numPr>
          <w:ilvl w:val="0"/>
          <w:numId w:val="9"/>
        </w:numPr>
        <w:rPr>
          <w:rFonts w:ascii="Arial" w:hAnsi="Arial" w:cs="Arial"/>
          <w:sz w:val="24"/>
          <w:szCs w:val="24"/>
        </w:rPr>
      </w:pPr>
      <w:r w:rsidRPr="00D64E6A">
        <w:rPr>
          <w:rFonts w:ascii="Arial" w:hAnsi="Arial" w:cs="Arial"/>
          <w:sz w:val="24"/>
          <w:szCs w:val="24"/>
        </w:rPr>
        <w:t>Todos los promocionales de los candidatos independientes se recibieron, por primera vez, mediante el Sistema Electrónico de Registro de Materiales</w:t>
      </w:r>
    </w:p>
    <w:p w14:paraId="2C1B8D84" w14:textId="77777777" w:rsidR="00786650" w:rsidRPr="00D64E6A" w:rsidRDefault="00786650" w:rsidP="00823E05">
      <w:pPr>
        <w:pStyle w:val="Prrafodelista"/>
        <w:numPr>
          <w:ilvl w:val="0"/>
          <w:numId w:val="9"/>
        </w:numPr>
        <w:rPr>
          <w:rFonts w:ascii="Arial" w:hAnsi="Arial" w:cs="Arial"/>
          <w:sz w:val="24"/>
          <w:szCs w:val="24"/>
        </w:rPr>
      </w:pPr>
      <w:r w:rsidRPr="00D64E6A">
        <w:rPr>
          <w:rFonts w:ascii="Arial" w:hAnsi="Arial" w:cs="Arial"/>
          <w:sz w:val="24"/>
          <w:szCs w:val="24"/>
        </w:rPr>
        <w:t>El 27% de los CI registrados utilizaron su prerrogativa de radio y televisión</w:t>
      </w:r>
    </w:p>
    <w:p w14:paraId="2C1B8D85" w14:textId="77777777" w:rsidR="00786650" w:rsidRPr="00D64E6A" w:rsidRDefault="00786650" w:rsidP="00823E05">
      <w:pPr>
        <w:pStyle w:val="Prrafodelista"/>
        <w:numPr>
          <w:ilvl w:val="0"/>
          <w:numId w:val="9"/>
        </w:numPr>
        <w:rPr>
          <w:rFonts w:ascii="Arial" w:hAnsi="Arial" w:cs="Arial"/>
          <w:sz w:val="24"/>
          <w:szCs w:val="24"/>
        </w:rPr>
      </w:pPr>
      <w:r w:rsidRPr="00D64E6A">
        <w:rPr>
          <w:rFonts w:ascii="Arial" w:hAnsi="Arial" w:cs="Arial"/>
          <w:sz w:val="24"/>
          <w:szCs w:val="24"/>
        </w:rPr>
        <w:t>El porcentaje de materiales de los CI calificados como óptimos fue del 77.97%</w:t>
      </w:r>
    </w:p>
    <w:p w14:paraId="2C1B8D86" w14:textId="77777777" w:rsidR="008157D8" w:rsidRPr="00D64E6A" w:rsidRDefault="00786650" w:rsidP="00823E05">
      <w:pPr>
        <w:pStyle w:val="Prrafodelista"/>
        <w:numPr>
          <w:ilvl w:val="0"/>
          <w:numId w:val="9"/>
        </w:numPr>
        <w:rPr>
          <w:rFonts w:ascii="Arial" w:hAnsi="Arial" w:cs="Arial"/>
          <w:sz w:val="24"/>
          <w:szCs w:val="24"/>
        </w:rPr>
      </w:pPr>
      <w:r w:rsidRPr="00D64E6A">
        <w:rPr>
          <w:rFonts w:ascii="Arial" w:hAnsi="Arial" w:cs="Arial"/>
          <w:sz w:val="24"/>
          <w:szCs w:val="24"/>
        </w:rPr>
        <w:t>En el proceso electoral de la CDMX fue en donde se pautó el mayor número de promocionales de CI con 30,096 lo que representó casi el 20% del total de los promocionales pautados.</w:t>
      </w:r>
    </w:p>
    <w:p w14:paraId="2C1B8D87" w14:textId="77777777" w:rsidR="008157D8" w:rsidRPr="00D64E6A" w:rsidRDefault="008157D8" w:rsidP="001F4500"/>
    <w:p w14:paraId="2C1B8D88" w14:textId="77777777" w:rsidR="008157D8" w:rsidRPr="00D64E6A" w:rsidRDefault="00925765" w:rsidP="008157D8">
      <w:pPr>
        <w:pStyle w:val="Ttulo2"/>
        <w:rPr>
          <w:lang w:val="es-MX"/>
        </w:rPr>
      </w:pPr>
      <w:bookmarkStart w:id="28" w:name="_Toc460517124"/>
      <w:r w:rsidRPr="00D64E6A">
        <w:rPr>
          <w:lang w:val="es-MX"/>
        </w:rPr>
        <w:t>III.</w:t>
      </w:r>
      <w:r w:rsidR="00AD09EC" w:rsidRPr="00D64E6A">
        <w:rPr>
          <w:lang w:val="es-MX"/>
        </w:rPr>
        <w:t>6</w:t>
      </w:r>
      <w:r w:rsidR="008157D8" w:rsidRPr="00D64E6A">
        <w:t>.</w:t>
      </w:r>
      <w:r w:rsidR="008157D8" w:rsidRPr="00D64E6A">
        <w:tab/>
      </w:r>
      <w:r w:rsidR="00CC3D7B" w:rsidRPr="00D64E6A">
        <w:rPr>
          <w:lang w:val="es-MX"/>
        </w:rPr>
        <w:t>R</w:t>
      </w:r>
      <w:r w:rsidR="00CC3D7B" w:rsidRPr="00D64E6A">
        <w:t>egul</w:t>
      </w:r>
      <w:r w:rsidR="00CC3D7B" w:rsidRPr="00D64E6A">
        <w:rPr>
          <w:lang w:val="es-MX"/>
        </w:rPr>
        <w:t>ación de</w:t>
      </w:r>
      <w:r w:rsidR="00CC3D7B" w:rsidRPr="00D64E6A">
        <w:t xml:space="preserve"> la propaganda política electoral</w:t>
      </w:r>
      <w:r w:rsidR="00CC3D7B" w:rsidRPr="00D64E6A">
        <w:rPr>
          <w:lang w:val="es-MX"/>
        </w:rPr>
        <w:t>,</w:t>
      </w:r>
      <w:r w:rsidR="00CC3D7B" w:rsidRPr="00D64E6A">
        <w:t xml:space="preserve"> a la luz del interés superior de </w:t>
      </w:r>
      <w:r w:rsidR="00CC3D7B" w:rsidRPr="00D64E6A">
        <w:rPr>
          <w:lang w:val="es-MX"/>
        </w:rPr>
        <w:t>niñas, niños y adolescentes</w:t>
      </w:r>
      <w:bookmarkEnd w:id="28"/>
    </w:p>
    <w:p w14:paraId="2C1B8D89" w14:textId="77777777" w:rsidR="008157D8" w:rsidRPr="00D64E6A" w:rsidRDefault="008157D8" w:rsidP="001F4500"/>
    <w:p w14:paraId="2C1B8D8A" w14:textId="77777777" w:rsidR="00F40ADC" w:rsidRPr="00D64E6A" w:rsidRDefault="00CC3D7B" w:rsidP="00F40ADC">
      <w:r w:rsidRPr="00D64E6A">
        <w:t>A raíz de lo resuelto por las sentencias de la Sala Especializada del Tribunal Electoral del Poder Judicial de la Federación SRE-PSC-27/2016, SRE-PSC-28/2016 y SRE-PSC-29/2016, aludidas tambi</w:t>
      </w:r>
      <w:r w:rsidR="00B90875" w:rsidRPr="00D64E6A">
        <w:t>én en el apartado II.2.4.</w:t>
      </w:r>
      <w:r w:rsidRPr="00D64E6A">
        <w:t xml:space="preserve">, </w:t>
      </w:r>
      <w:r w:rsidR="002C5213" w:rsidRPr="00D64E6A">
        <w:t xml:space="preserve">el Comité, por vía del ya citado Acuerdo INE/ACRT/18/2016, que modificó los términos y condiciones </w:t>
      </w:r>
      <w:r w:rsidR="00F40ADC" w:rsidRPr="00D64E6A">
        <w:t>de</w:t>
      </w:r>
      <w:r w:rsidR="002C5213" w:rsidRPr="00D64E6A">
        <w:t xml:space="preserve"> entrega de materiales</w:t>
      </w:r>
      <w:r w:rsidR="00F40ADC" w:rsidRPr="00D64E6A">
        <w:t xml:space="preserve"> para efectos del subtitulado de los promocionales de televisión</w:t>
      </w:r>
      <w:r w:rsidR="002C5213" w:rsidRPr="00D64E6A">
        <w:t xml:space="preserve">, estableció </w:t>
      </w:r>
      <w:r w:rsidR="00F40ADC" w:rsidRPr="00D64E6A">
        <w:t xml:space="preserve">también </w:t>
      </w:r>
      <w:r w:rsidR="002C5213" w:rsidRPr="00D64E6A">
        <w:t xml:space="preserve">algunos requisitos normativos </w:t>
      </w:r>
      <w:r w:rsidR="00F40ADC" w:rsidRPr="00D64E6A">
        <w:t>para el caso de que en éstos se incluyera la imagen de menores de edad.</w:t>
      </w:r>
    </w:p>
    <w:p w14:paraId="2C1B8D8B" w14:textId="77777777" w:rsidR="00F40ADC" w:rsidRPr="00D64E6A" w:rsidRDefault="00F40ADC" w:rsidP="00F40ADC"/>
    <w:p w14:paraId="2C1B8D8C" w14:textId="77777777" w:rsidR="00F40ADC" w:rsidRPr="00D64E6A" w:rsidRDefault="00B7643D" w:rsidP="00F40ADC">
      <w:r w:rsidRPr="00D64E6A">
        <w:t xml:space="preserve">Dichos requisitos a cargo de </w:t>
      </w:r>
      <w:r w:rsidR="00F40ADC" w:rsidRPr="00D64E6A">
        <w:t xml:space="preserve">los partidos políticos nacionales y locales, coaliciones, candidatos/as independientes y autoridades electorales </w:t>
      </w:r>
      <w:r w:rsidRPr="00D64E6A">
        <w:t>consistieron en</w:t>
      </w:r>
      <w:r w:rsidR="00F40ADC" w:rsidRPr="00D64E6A">
        <w:t xml:space="preserve"> presentar, junto con el material en cuestión, la documentación siguiente:</w:t>
      </w:r>
    </w:p>
    <w:p w14:paraId="2C1B8D8D" w14:textId="77777777" w:rsidR="00F40ADC" w:rsidRPr="00D64E6A" w:rsidRDefault="00F40ADC" w:rsidP="00F40ADC"/>
    <w:p w14:paraId="2C1B8D8E" w14:textId="77777777" w:rsidR="00F40ADC" w:rsidRPr="00D64E6A" w:rsidRDefault="00F40ADC" w:rsidP="00B7643D">
      <w:pPr>
        <w:ind w:left="567"/>
      </w:pPr>
      <w:r w:rsidRPr="00D64E6A">
        <w:t>•</w:t>
      </w:r>
      <w:r w:rsidRPr="00D64E6A">
        <w:tab/>
        <w:t>El consentimiento por escrito y debidamente firmados por los padres y las madres o por quienes ejerzan efectivamente la patria potestad o tutela de los menores.</w:t>
      </w:r>
    </w:p>
    <w:p w14:paraId="2C1B8D8F" w14:textId="77777777" w:rsidR="00F40ADC" w:rsidRPr="00D64E6A" w:rsidRDefault="00F40ADC" w:rsidP="00B7643D">
      <w:pPr>
        <w:ind w:left="567"/>
      </w:pPr>
    </w:p>
    <w:p w14:paraId="2C1B8D90" w14:textId="77777777" w:rsidR="00F40ADC" w:rsidRPr="00D64E6A" w:rsidRDefault="00F40ADC" w:rsidP="00B7643D">
      <w:pPr>
        <w:ind w:left="567"/>
      </w:pPr>
      <w:r w:rsidRPr="00D64E6A">
        <w:t>•</w:t>
      </w:r>
      <w:r w:rsidRPr="00D64E6A">
        <w:tab/>
        <w:t>La manifestación de los menores en cuanto hace a su opinión libre y expresa respecto de su participación en el promocional en cuestión, las cuales deben valorarse en atención a su edad, desarrollo evolutivo, cognoscitivo y madurez.</w:t>
      </w:r>
    </w:p>
    <w:p w14:paraId="2C1B8D91" w14:textId="77777777" w:rsidR="00F40ADC" w:rsidRPr="00D64E6A" w:rsidRDefault="00F40ADC" w:rsidP="00B7643D">
      <w:pPr>
        <w:ind w:left="567"/>
      </w:pPr>
    </w:p>
    <w:p w14:paraId="2C1B8D92" w14:textId="77777777" w:rsidR="002C5213" w:rsidRPr="00D64E6A" w:rsidRDefault="00F40ADC" w:rsidP="00B7643D">
      <w:pPr>
        <w:ind w:left="567"/>
      </w:pPr>
      <w:r w:rsidRPr="00D64E6A">
        <w:t>Tanto el consentimiento de los padres, madres o los que ejerzan la patria potestad o tutela, como la manifestación de los menores, debe</w:t>
      </w:r>
      <w:r w:rsidR="00B7643D" w:rsidRPr="00D64E6A">
        <w:t>ría</w:t>
      </w:r>
      <w:r w:rsidRPr="00D64E6A">
        <w:t xml:space="preserve"> ratificarse ante la Oficialía Electoral del Instituto Nacional Electoral o Fedatario Público, a fin de </w:t>
      </w:r>
      <w:r w:rsidR="00B7643D" w:rsidRPr="00D64E6A">
        <w:t>tener</w:t>
      </w:r>
      <w:r w:rsidRPr="00D64E6A">
        <w:t xml:space="preserve"> constancia de la autenticidad de los mismos.</w:t>
      </w:r>
    </w:p>
    <w:p w14:paraId="2C1B8D93" w14:textId="77777777" w:rsidR="002C5213" w:rsidRPr="00D64E6A" w:rsidRDefault="002C5213" w:rsidP="001F4500"/>
    <w:p w14:paraId="2C1B8D94" w14:textId="77777777" w:rsidR="00B7643D" w:rsidRPr="00D64E6A" w:rsidRDefault="00B7643D" w:rsidP="00A13046">
      <w:r w:rsidRPr="00D64E6A">
        <w:t>El Acuerdo INE/ACRT/18/2016</w:t>
      </w:r>
      <w:r w:rsidR="00203B49" w:rsidRPr="00D64E6A">
        <w:t xml:space="preserve"> fue impugnado, resolviendo la Sala Superior del Tribunal Electoral del Poder Judicial de la Federación mediante sentencia del 25 de mayo de 2016, recaída al Recurso de Revisión del Procedimiento Especial Sancionador </w:t>
      </w:r>
      <w:r w:rsidR="00A13046" w:rsidRPr="00D64E6A">
        <w:t>y Recurso de Apelación identificados con el número de expediente SUP-REP-0060/2016 y acumulados,</w:t>
      </w:r>
      <w:r w:rsidRPr="00D64E6A">
        <w:t xml:space="preserve"> modifica</w:t>
      </w:r>
      <w:r w:rsidR="00A13046" w:rsidRPr="00D64E6A">
        <w:t>r</w:t>
      </w:r>
      <w:r w:rsidRPr="00D64E6A">
        <w:t xml:space="preserve"> el </w:t>
      </w:r>
      <w:r w:rsidR="00A13046" w:rsidRPr="00D64E6A">
        <w:t xml:space="preserve">Acuerdo </w:t>
      </w:r>
      <w:r w:rsidRPr="00D64E6A">
        <w:t>para el efecto</w:t>
      </w:r>
      <w:r w:rsidR="00A13046" w:rsidRPr="00D64E6A">
        <w:t xml:space="preserve"> </w:t>
      </w:r>
      <w:r w:rsidRPr="00D64E6A">
        <w:t>de dejar insubsistente</w:t>
      </w:r>
      <w:r w:rsidR="00A13046" w:rsidRPr="00D64E6A">
        <w:t>s</w:t>
      </w:r>
      <w:r w:rsidRPr="00D64E6A">
        <w:t xml:space="preserve"> </w:t>
      </w:r>
      <w:r w:rsidR="00A13046" w:rsidRPr="00D64E6A">
        <w:t>los requisitos</w:t>
      </w:r>
      <w:r w:rsidRPr="00D64E6A">
        <w:t xml:space="preserve"> </w:t>
      </w:r>
      <w:r w:rsidR="00A13046" w:rsidRPr="00D64E6A">
        <w:t>mencionados.</w:t>
      </w:r>
    </w:p>
    <w:p w14:paraId="2C1B8D95" w14:textId="77777777" w:rsidR="00A13046" w:rsidRPr="00D64E6A" w:rsidRDefault="00A13046" w:rsidP="00A13046"/>
    <w:p w14:paraId="2C1B8D96" w14:textId="77777777" w:rsidR="00B7643D" w:rsidRPr="00D64E6A" w:rsidRDefault="00A13046" w:rsidP="00B7643D">
      <w:r w:rsidRPr="00D64E6A">
        <w:t>Asimismo, el fallo de mérito vinculó</w:t>
      </w:r>
      <w:r w:rsidR="00B7643D" w:rsidRPr="00D64E6A">
        <w:t xml:space="preserve"> al Consejo General del Instituto</w:t>
      </w:r>
      <w:r w:rsidRPr="00D64E6A">
        <w:t xml:space="preserve"> </w:t>
      </w:r>
      <w:r w:rsidR="00B7643D" w:rsidRPr="00D64E6A">
        <w:t xml:space="preserve">a que, </w:t>
      </w:r>
      <w:r w:rsidR="005C570A" w:rsidRPr="00D64E6A">
        <w:t>“</w:t>
      </w:r>
      <w:r w:rsidR="00B7643D" w:rsidRPr="00D64E6A">
        <w:t>una vez concluido los procesos</w:t>
      </w:r>
      <w:r w:rsidR="005C570A" w:rsidRPr="00D64E6A">
        <w:t xml:space="preserve"> </w:t>
      </w:r>
      <w:r w:rsidR="00B7643D" w:rsidRPr="00D64E6A">
        <w:t>electorales locales en curso y en su oportunidad, en plenitud de</w:t>
      </w:r>
      <w:r w:rsidR="005D113D" w:rsidRPr="00D64E6A">
        <w:t xml:space="preserve"> </w:t>
      </w:r>
      <w:r w:rsidR="00B7643D" w:rsidRPr="00D64E6A">
        <w:t>atribuciones, emita los lineamientos, acuerdos o reglamentos que</w:t>
      </w:r>
      <w:r w:rsidR="005C570A" w:rsidRPr="00D64E6A">
        <w:t xml:space="preserve"> </w:t>
      </w:r>
      <w:r w:rsidR="00B7643D" w:rsidRPr="00D64E6A">
        <w:t>estime conducentes, con el propósito de regular de manera</w:t>
      </w:r>
      <w:r w:rsidR="005C570A" w:rsidRPr="00D64E6A">
        <w:t xml:space="preserve"> </w:t>
      </w:r>
      <w:r w:rsidR="00B7643D" w:rsidRPr="00D64E6A">
        <w:t>integradora, a través de medidas idóneas y eficaces los requisitos</w:t>
      </w:r>
      <w:r w:rsidR="005C570A" w:rsidRPr="00D64E6A">
        <w:t xml:space="preserve"> </w:t>
      </w:r>
      <w:r w:rsidR="00B7643D" w:rsidRPr="00D64E6A">
        <w:t>que debe cumplir la propaganda política electoral de cualquier</w:t>
      </w:r>
      <w:r w:rsidR="005C570A" w:rsidRPr="00D64E6A">
        <w:t xml:space="preserve"> </w:t>
      </w:r>
      <w:r w:rsidR="00B7643D" w:rsidRPr="00D64E6A">
        <w:t>índole, cuando se estime necesario proteger el interés superior del</w:t>
      </w:r>
      <w:r w:rsidR="005C570A" w:rsidRPr="00D64E6A">
        <w:t xml:space="preserve"> </w:t>
      </w:r>
      <w:r w:rsidR="00B7643D" w:rsidRPr="00D64E6A">
        <w:t>menor y de personas en situación de vulnerabilidad, en los</w:t>
      </w:r>
      <w:r w:rsidR="005C570A" w:rsidRPr="00D64E6A">
        <w:t xml:space="preserve"> </w:t>
      </w:r>
      <w:r w:rsidR="00B7643D" w:rsidRPr="00D64E6A">
        <w:t>términos de esta sentencia</w:t>
      </w:r>
      <w:r w:rsidR="005C570A" w:rsidRPr="00D64E6A">
        <w:t>”</w:t>
      </w:r>
      <w:r w:rsidR="00B7643D" w:rsidRPr="00D64E6A">
        <w:t>.</w:t>
      </w:r>
    </w:p>
    <w:p w14:paraId="2C1B8D97" w14:textId="77777777" w:rsidR="00B7643D" w:rsidRPr="00D64E6A" w:rsidRDefault="00B7643D" w:rsidP="001F4500"/>
    <w:p w14:paraId="2C1B8D98" w14:textId="77777777" w:rsidR="00CC3D7B" w:rsidRPr="00D64E6A" w:rsidRDefault="005C570A" w:rsidP="001F4500">
      <w:r w:rsidRPr="00D64E6A">
        <w:t xml:space="preserve">Con base en lo anterior, el Comité </w:t>
      </w:r>
      <w:r w:rsidR="00CC3D7B" w:rsidRPr="00D64E6A">
        <w:t xml:space="preserve">acordó </w:t>
      </w:r>
      <w:r w:rsidR="00B90875" w:rsidRPr="00D64E6A">
        <w:t xml:space="preserve">en su Quinta Sesión Ordinaria, celebrada el </w:t>
      </w:r>
      <w:r w:rsidR="00DC5C0F" w:rsidRPr="00D64E6A">
        <w:t xml:space="preserve">26 de mayo del año en curso, </w:t>
      </w:r>
      <w:r w:rsidR="00CC3D7B" w:rsidRPr="00D64E6A">
        <w:t>que la Secretaría Técnica presentar</w:t>
      </w:r>
      <w:r w:rsidR="00B90875" w:rsidRPr="00D64E6A">
        <w:t>ía a su consideración</w:t>
      </w:r>
      <w:r w:rsidR="00CC3D7B" w:rsidRPr="00D64E6A">
        <w:t xml:space="preserve"> una hoja de ruta para la realización de </w:t>
      </w:r>
      <w:r w:rsidR="00DF130C" w:rsidRPr="00D64E6A">
        <w:t>diversas actividades</w:t>
      </w:r>
      <w:r w:rsidR="00CC3D7B" w:rsidRPr="00D64E6A">
        <w:t xml:space="preserve"> </w:t>
      </w:r>
      <w:r w:rsidRPr="00D64E6A">
        <w:t>encaminadas a la elaboración de</w:t>
      </w:r>
      <w:r w:rsidR="00CC3D7B" w:rsidRPr="00D64E6A">
        <w:t xml:space="preserve"> </w:t>
      </w:r>
      <w:r w:rsidRPr="00D64E6A">
        <w:t>los lineamientos ordenados por el Tribunal Electoral</w:t>
      </w:r>
      <w:r w:rsidR="00CC3D7B" w:rsidRPr="00D64E6A">
        <w:t>, así como las consultas que se harían a las distintas instancias al respecto.</w:t>
      </w:r>
    </w:p>
    <w:p w14:paraId="2C1B8D99" w14:textId="77777777" w:rsidR="00B90875" w:rsidRPr="00D64E6A" w:rsidRDefault="00B90875" w:rsidP="001F4500"/>
    <w:p w14:paraId="2C1B8D9A" w14:textId="77777777" w:rsidR="00DF130C" w:rsidRPr="00D64E6A" w:rsidRDefault="00B90875" w:rsidP="001F4500">
      <w:r w:rsidRPr="00D64E6A">
        <w:t xml:space="preserve">Así, </w:t>
      </w:r>
      <w:r w:rsidR="00F3028A" w:rsidRPr="00D64E6A">
        <w:t xml:space="preserve">en una primera instancia acción, </w:t>
      </w:r>
      <w:r w:rsidR="00DF130C" w:rsidRPr="00D64E6A">
        <w:t>se planeó la realización de un espacio de análisis para abordar esta temática desde diversas perspectivas que enriquecieran el acervo de conocimientos sobre la misma, de manera que la institución cuente con elementos firmes en los cuales sustentar la emisión de los referidos lineamientos.</w:t>
      </w:r>
    </w:p>
    <w:p w14:paraId="2C1B8D9B" w14:textId="77777777" w:rsidR="00DF130C" w:rsidRPr="00D64E6A" w:rsidRDefault="00DF130C" w:rsidP="001F4500"/>
    <w:p w14:paraId="2C1B8D9C" w14:textId="77777777" w:rsidR="00B90875" w:rsidRPr="00D64E6A" w:rsidRDefault="00DF130C" w:rsidP="001F4500">
      <w:r w:rsidRPr="00D64E6A">
        <w:t xml:space="preserve">Conforme a lo anterior, el Comité se dio a la tarea de </w:t>
      </w:r>
      <w:r w:rsidR="00E018BC" w:rsidRPr="00D64E6A">
        <w:t>analizar</w:t>
      </w:r>
      <w:r w:rsidR="00DC5C0F" w:rsidRPr="00D64E6A">
        <w:t xml:space="preserve"> propuestas de agenda</w:t>
      </w:r>
      <w:r w:rsidR="00E018BC" w:rsidRPr="00D64E6A">
        <w:t>,</w:t>
      </w:r>
      <w:r w:rsidR="00DC5C0F" w:rsidRPr="00D64E6A">
        <w:t xml:space="preserve"> de temas y circunstancias de formato, sede, y fechas para realizar dicho espacio de análisis</w:t>
      </w:r>
      <w:r w:rsidR="00E018BC" w:rsidRPr="00D64E6A">
        <w:t>; hecho lo cual, se acordó la realización del Seminario “La protección de niñas, niños y adolescentes en la propaganda político-electoral en radio y televisión”, el cual tuvo lugar el 2 de septiembre de 2016.</w:t>
      </w:r>
    </w:p>
    <w:p w14:paraId="2C1B8D9D" w14:textId="77777777" w:rsidR="00CC3D7B" w:rsidRPr="00D64E6A" w:rsidRDefault="00CC3D7B" w:rsidP="001F4500"/>
    <w:p w14:paraId="2C1B8D9E" w14:textId="77777777" w:rsidR="00CC3D7B" w:rsidRPr="00D64E6A" w:rsidRDefault="00E018BC" w:rsidP="00E018BC">
      <w:r w:rsidRPr="00D64E6A">
        <w:t>El objetivo del Seminario consistió en analizar, a partir de la legislación nacional y la experiencia local e internacional, los mecanismos más adecuados para proteger el interés superior de la niñez cuando</w:t>
      </w:r>
      <w:r w:rsidR="0017721D" w:rsidRPr="00D64E6A">
        <w:t xml:space="preserve"> s</w:t>
      </w:r>
      <w:r w:rsidRPr="00D64E6A">
        <w:t>e emplee su imagen en promocionales de partidos políticos, candi</w:t>
      </w:r>
      <w:r w:rsidR="0017721D" w:rsidRPr="00D64E6A">
        <w:t>datos y autoridades electorales, y s</w:t>
      </w:r>
      <w:r w:rsidRPr="00D64E6A">
        <w:t xml:space="preserve">e difundan promocionales en la programación radiodifundida dirigida específicamente </w:t>
      </w:r>
      <w:r w:rsidR="0017721D" w:rsidRPr="00D64E6A">
        <w:t>dicho sector de la población</w:t>
      </w:r>
      <w:r w:rsidRPr="00D64E6A">
        <w:t>.</w:t>
      </w:r>
    </w:p>
    <w:p w14:paraId="2C1B8D9F" w14:textId="77777777" w:rsidR="00CC3D7B" w:rsidRPr="00D64E6A" w:rsidRDefault="00CC3D7B" w:rsidP="001F4500"/>
    <w:p w14:paraId="2C1B8DA0" w14:textId="77777777" w:rsidR="0017721D" w:rsidRPr="00D64E6A" w:rsidRDefault="0017721D" w:rsidP="0017721D">
      <w:r w:rsidRPr="00D64E6A">
        <w:t xml:space="preserve">El </w:t>
      </w:r>
      <w:r w:rsidR="003C4BC9" w:rsidRPr="00D64E6A">
        <w:t xml:space="preserve">seminario se estructuró a partir de tres </w:t>
      </w:r>
      <w:r w:rsidRPr="00D64E6A">
        <w:t xml:space="preserve">mesas de trabajo en las que </w:t>
      </w:r>
      <w:r w:rsidR="003C4BC9" w:rsidRPr="00D64E6A">
        <w:t>ponentes</w:t>
      </w:r>
      <w:r w:rsidRPr="00D64E6A">
        <w:t xml:space="preserve"> de ámbitos acad</w:t>
      </w:r>
      <w:r w:rsidR="003C4BC9" w:rsidRPr="00D64E6A">
        <w:t>émicos</w:t>
      </w:r>
      <w:r w:rsidRPr="00D64E6A">
        <w:t xml:space="preserve">, </w:t>
      </w:r>
      <w:r w:rsidR="003C4BC9" w:rsidRPr="00D64E6A">
        <w:t>del servicio público y de la participación social</w:t>
      </w:r>
      <w:r w:rsidRPr="00D64E6A">
        <w:t xml:space="preserve"> expusieron </w:t>
      </w:r>
      <w:r w:rsidR="003C4BC9" w:rsidRPr="00D64E6A">
        <w:t>sus puntos de vi</w:t>
      </w:r>
      <w:r w:rsidR="00E97241" w:rsidRPr="00D64E6A">
        <w:t>sta conforme a</w:t>
      </w:r>
      <w:r w:rsidR="003C4BC9" w:rsidRPr="00D64E6A">
        <w:t xml:space="preserve"> una metodología consistente </w:t>
      </w:r>
      <w:r w:rsidR="00E97241" w:rsidRPr="00D64E6A">
        <w:t>en modificar, ampliar o precisar en su contenido o enfoque, los temas generales planteados por los organizadores del Seminario</w:t>
      </w:r>
      <w:r w:rsidRPr="00D64E6A">
        <w:t>.</w:t>
      </w:r>
    </w:p>
    <w:p w14:paraId="2C1B8DA1" w14:textId="77777777" w:rsidR="0017721D" w:rsidRPr="00D64E6A" w:rsidRDefault="0017721D" w:rsidP="0017721D"/>
    <w:p w14:paraId="2C1B8DA2" w14:textId="77777777" w:rsidR="00CC3D7B" w:rsidRPr="00D64E6A" w:rsidRDefault="0017721D" w:rsidP="0017721D">
      <w:r w:rsidRPr="00D64E6A">
        <w:t xml:space="preserve">Los videos de las ponencias junto a la información de cada mesa y las presentaciones se </w:t>
      </w:r>
      <w:r w:rsidR="00AD09EC" w:rsidRPr="00D64E6A">
        <w:t>también estarán</w:t>
      </w:r>
      <w:r w:rsidRPr="00D64E6A">
        <w:t xml:space="preserve"> disponibles para su consulta en la página de internet del Instituto</w:t>
      </w:r>
      <w:r w:rsidR="00AD09EC" w:rsidRPr="00D64E6A">
        <w:t>.</w:t>
      </w:r>
    </w:p>
    <w:p w14:paraId="2C1B8DA3" w14:textId="77777777" w:rsidR="00CC3D7B" w:rsidRPr="00D64E6A" w:rsidRDefault="00CC3D7B" w:rsidP="001F4500"/>
    <w:p w14:paraId="2C1B8DA4" w14:textId="77777777" w:rsidR="00AD09EC" w:rsidRPr="00D64E6A" w:rsidRDefault="00925765" w:rsidP="0080411B">
      <w:pPr>
        <w:pStyle w:val="Ttulo2"/>
        <w:ind w:left="709" w:hanging="709"/>
        <w:rPr>
          <w:lang w:val="es-MX"/>
        </w:rPr>
      </w:pPr>
      <w:bookmarkStart w:id="29" w:name="_Toc460517125"/>
      <w:r w:rsidRPr="00D64E6A">
        <w:rPr>
          <w:lang w:val="es-MX"/>
        </w:rPr>
        <w:t>III.</w:t>
      </w:r>
      <w:r w:rsidR="00AD09EC" w:rsidRPr="00D64E6A">
        <w:rPr>
          <w:lang w:val="es-MX"/>
        </w:rPr>
        <w:t>7</w:t>
      </w:r>
      <w:r w:rsidR="00AD09EC" w:rsidRPr="00D64E6A">
        <w:t>.</w:t>
      </w:r>
      <w:r w:rsidR="00AD09EC" w:rsidRPr="00D64E6A">
        <w:tab/>
      </w:r>
      <w:r w:rsidR="0080411B" w:rsidRPr="00D64E6A">
        <w:rPr>
          <w:lang w:val="es-MX"/>
        </w:rPr>
        <w:t>Cumplimiento de las obligaciones de transparencia derivadas de la promulgación de la Ley General de Transparencia y Acceso a la Información Pública</w:t>
      </w:r>
      <w:bookmarkEnd w:id="29"/>
      <w:r w:rsidR="0080411B" w:rsidRPr="00D64E6A">
        <w:rPr>
          <w:lang w:val="es-MX"/>
        </w:rPr>
        <w:t xml:space="preserve"> </w:t>
      </w:r>
    </w:p>
    <w:p w14:paraId="2C1B8DA5" w14:textId="77777777" w:rsidR="00CC3D7B" w:rsidRPr="00D64E6A" w:rsidRDefault="00CC3D7B" w:rsidP="001F4500"/>
    <w:p w14:paraId="2C1B8DA6" w14:textId="77777777" w:rsidR="00CC3D7B" w:rsidRPr="00D64E6A" w:rsidRDefault="00D367A0" w:rsidP="001F4500">
      <w:r w:rsidRPr="00D64E6A">
        <w:t xml:space="preserve">Como consecuencia de la expedición de la Ley a que hace referencia el epígrafe que encabeza el presente apartado, fue creado el Sistema Nacional de Transparencia, organismo que emitió los </w:t>
      </w:r>
      <w:r w:rsidR="008656F7" w:rsidRPr="00D64E6A">
        <w:t>“</w:t>
      </w:r>
      <w:r w:rsidRPr="00D64E6A">
        <w:t>Lineamientos técnicos generales para la publicación, homologación y estandarización de la información de las obligaciones establecidas en el título quinto y en la fracción IV del artículo 31 de la Ley General de Transparencia y Acceso a la Información Pública [LGT], que deben de difundir los sujetos obligados en los portales de Internet y en la Plataforma Nacional de Transparencia.</w:t>
      </w:r>
      <w:r w:rsidR="008656F7" w:rsidRPr="00D64E6A">
        <w:t>”</w:t>
      </w:r>
    </w:p>
    <w:p w14:paraId="2C1B8DA7" w14:textId="77777777" w:rsidR="00CC3D7B" w:rsidRPr="00D64E6A" w:rsidRDefault="00CC3D7B" w:rsidP="001F4500"/>
    <w:p w14:paraId="2C1B8DA8" w14:textId="77777777" w:rsidR="00D367A0" w:rsidRPr="00D64E6A" w:rsidRDefault="008656F7" w:rsidP="00D367A0">
      <w:r w:rsidRPr="00D64E6A">
        <w:t>Estos Lineamientos fueron aprobados e</w:t>
      </w:r>
      <w:r w:rsidR="00D367A0" w:rsidRPr="00D64E6A">
        <w:t>n el Diario Oficial de la F</w:t>
      </w:r>
      <w:r w:rsidRPr="00D64E6A">
        <w:t>ederación del 4 de mayo de 2016.</w:t>
      </w:r>
    </w:p>
    <w:p w14:paraId="2C1B8DA9" w14:textId="77777777" w:rsidR="00D367A0" w:rsidRPr="00D64E6A" w:rsidRDefault="00D367A0" w:rsidP="00D367A0"/>
    <w:p w14:paraId="2C1B8DAA" w14:textId="77777777" w:rsidR="00D367A0" w:rsidRPr="00D64E6A" w:rsidRDefault="00D367A0" w:rsidP="00A94868">
      <w:r w:rsidRPr="00D64E6A">
        <w:t xml:space="preserve">Los Lineamientos </w:t>
      </w:r>
      <w:r w:rsidR="00A94868" w:rsidRPr="00D64E6A">
        <w:t>prevén</w:t>
      </w:r>
      <w:r w:rsidRPr="00D64E6A">
        <w:t xml:space="preserve"> criterios de contenido, actualización, confiabilidad y formato de los datos atinentes.</w:t>
      </w:r>
    </w:p>
    <w:p w14:paraId="2C1B8DAB" w14:textId="77777777" w:rsidR="00D367A0" w:rsidRPr="00D64E6A" w:rsidRDefault="00D367A0" w:rsidP="00D367A0"/>
    <w:p w14:paraId="2C1B8DAC" w14:textId="77777777" w:rsidR="00D367A0" w:rsidRPr="00D64E6A" w:rsidRDefault="00D367A0" w:rsidP="00D367A0">
      <w:r w:rsidRPr="00D64E6A">
        <w:t>Los “criterios de contenido” representan los rubros de información que deberán transparentarse:</w:t>
      </w:r>
    </w:p>
    <w:p w14:paraId="2C1B8DAD" w14:textId="77777777" w:rsidR="00D367A0" w:rsidRPr="00D64E6A" w:rsidRDefault="00D367A0" w:rsidP="00D367A0"/>
    <w:p w14:paraId="2C1B8DAE" w14:textId="77777777" w:rsidR="00CC3D7B" w:rsidRPr="00D64E6A" w:rsidRDefault="00D367A0" w:rsidP="00D367A0">
      <w:r w:rsidRPr="00D64E6A">
        <w:t xml:space="preserve">Por otra parte, los criterios de actualización, confiabilidad y formato disponen </w:t>
      </w:r>
      <w:r w:rsidR="00A94868" w:rsidRPr="00D64E6A">
        <w:t xml:space="preserve">la temporalidad para la </w:t>
      </w:r>
      <w:r w:rsidRPr="00D64E6A">
        <w:t>actualización</w:t>
      </w:r>
      <w:r w:rsidR="00A94868" w:rsidRPr="00D64E6A">
        <w:t xml:space="preserve"> de la información</w:t>
      </w:r>
      <w:r w:rsidRPr="00D64E6A">
        <w:t xml:space="preserve">, </w:t>
      </w:r>
      <w:r w:rsidR="00A94868" w:rsidRPr="00D64E6A">
        <w:t xml:space="preserve">su conservación </w:t>
      </w:r>
      <w:r w:rsidRPr="00D64E6A">
        <w:t xml:space="preserve">en el sitio de Internet y </w:t>
      </w:r>
      <w:r w:rsidR="00A94868" w:rsidRPr="00D64E6A">
        <w:t>en</w:t>
      </w:r>
      <w:r w:rsidRPr="00D64E6A">
        <w:t xml:space="preserve"> la Plataforma Nacional </w:t>
      </w:r>
      <w:r w:rsidR="00A94868" w:rsidRPr="00D64E6A">
        <w:t>de Transparencia; la precisión de</w:t>
      </w:r>
      <w:r w:rsidRPr="00D64E6A">
        <w:t xml:space="preserve"> las áreas o unidades administrativas que generan o poseen la información y son responsables de publicarla y actualizarla. </w:t>
      </w:r>
      <w:r w:rsidR="00A94868" w:rsidRPr="00D64E6A">
        <w:t xml:space="preserve">Asimismo, las </w:t>
      </w:r>
      <w:r w:rsidRPr="00D64E6A">
        <w:t>fecha</w:t>
      </w:r>
      <w:r w:rsidR="004D55FF" w:rsidRPr="00D64E6A">
        <w:t>s</w:t>
      </w:r>
      <w:r w:rsidRPr="00D64E6A">
        <w:t xml:space="preserve"> de</w:t>
      </w:r>
      <w:r w:rsidR="00A94868" w:rsidRPr="00D64E6A">
        <w:t xml:space="preserve"> actu</w:t>
      </w:r>
      <w:r w:rsidR="004D55FF" w:rsidRPr="00D64E6A">
        <w:t>alización y de validación;</w:t>
      </w:r>
      <w:r w:rsidR="00A94868" w:rsidRPr="00D64E6A">
        <w:t xml:space="preserve"> </w:t>
      </w:r>
      <w:r w:rsidR="004D55FF" w:rsidRPr="00D64E6A">
        <w:t>condiciones de</w:t>
      </w:r>
      <w:r w:rsidRPr="00D64E6A">
        <w:t xml:space="preserve"> reutilización</w:t>
      </w:r>
      <w:r w:rsidR="004D55FF" w:rsidRPr="00D64E6A">
        <w:t>, y f</w:t>
      </w:r>
      <w:r w:rsidR="008E6B25" w:rsidRPr="00D64E6A">
        <w:t xml:space="preserve">inalmente, </w:t>
      </w:r>
      <w:r w:rsidR="004D55FF" w:rsidRPr="00D64E6A">
        <w:t xml:space="preserve">el </w:t>
      </w:r>
      <w:r w:rsidRPr="00D64E6A">
        <w:t xml:space="preserve">formato </w:t>
      </w:r>
      <w:r w:rsidR="008E6B25" w:rsidRPr="00D64E6A">
        <w:t>conforme al cual se deberán capturar</w:t>
      </w:r>
      <w:r w:rsidRPr="00D64E6A">
        <w:t xml:space="preserve"> los datos </w:t>
      </w:r>
      <w:r w:rsidR="008E6B25" w:rsidRPr="00D64E6A">
        <w:t>atinentes.</w:t>
      </w:r>
    </w:p>
    <w:p w14:paraId="2C1B8DAF" w14:textId="77777777" w:rsidR="00CC3D7B" w:rsidRPr="00D64E6A" w:rsidRDefault="00CC3D7B" w:rsidP="001F4500"/>
    <w:p w14:paraId="2C1B8DB0" w14:textId="77777777" w:rsidR="00CC3D7B" w:rsidRDefault="004D55FF" w:rsidP="001F4500">
      <w:r w:rsidRPr="00D64E6A">
        <w:t xml:space="preserve">En tal sentido, el Comité de Radio y Televisión ha previsto la realización de una reunión de trabajo con personal del Instituto Nacional de Transparencia, Acceso a la Información y Protección de Datos Personales, prevista para llevarse a cabo el 9 de septiembre de 2016, con la finalidad de </w:t>
      </w:r>
      <w:r w:rsidR="00F3028A" w:rsidRPr="00D64E6A">
        <w:t>atender observaciones, dudas y comentarios de los partidos políticos respecto de sus obligaciones en la materia</w:t>
      </w:r>
      <w:r w:rsidR="003360EA" w:rsidRPr="00D64E6A">
        <w:t>.</w:t>
      </w:r>
    </w:p>
    <w:sectPr w:rsidR="00CC3D7B" w:rsidSect="005D67A5">
      <w:headerReference w:type="default" r:id="rId17"/>
      <w:footerReference w:type="default" r:id="rId18"/>
      <w:headerReference w:type="first" r:id="rId19"/>
      <w:pgSz w:w="12240" w:h="15840" w:code="1"/>
      <w:pgMar w:top="1417" w:right="1701" w:bottom="1417"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1B8DB9" w14:textId="77777777" w:rsidR="009A6D1B" w:rsidRDefault="009A6D1B" w:rsidP="003156E1">
      <w:r>
        <w:separator/>
      </w:r>
    </w:p>
  </w:endnote>
  <w:endnote w:type="continuationSeparator" w:id="0">
    <w:p w14:paraId="2C1B8DBA" w14:textId="77777777" w:rsidR="009A6D1B" w:rsidRDefault="009A6D1B" w:rsidP="00315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070"/>
      <w:gridCol w:w="1768"/>
    </w:tblGrid>
    <w:tr w:rsidR="00A13046" w14:paraId="2C1B8DC0" w14:textId="77777777">
      <w:trPr>
        <w:trHeight w:val="727"/>
      </w:trPr>
      <w:tc>
        <w:tcPr>
          <w:tcW w:w="4000" w:type="pct"/>
          <w:tcBorders>
            <w:right w:val="triple" w:sz="4" w:space="0" w:color="4F81BD"/>
          </w:tcBorders>
        </w:tcPr>
        <w:p w14:paraId="2C1B8DBE" w14:textId="77777777" w:rsidR="00A13046" w:rsidRDefault="00A13046">
          <w:pPr>
            <w:tabs>
              <w:tab w:val="left" w:pos="620"/>
              <w:tab w:val="center" w:pos="4320"/>
            </w:tabs>
            <w:jc w:val="right"/>
            <w:rPr>
              <w:rFonts w:ascii="Cambria" w:hAnsi="Cambria"/>
              <w:sz w:val="20"/>
              <w:szCs w:val="20"/>
              <w:lang w:val="es-ES"/>
            </w:rPr>
          </w:pPr>
        </w:p>
      </w:tc>
      <w:tc>
        <w:tcPr>
          <w:tcW w:w="1000" w:type="pct"/>
          <w:tcBorders>
            <w:left w:val="triple" w:sz="4" w:space="0" w:color="4F81BD"/>
          </w:tcBorders>
        </w:tcPr>
        <w:p w14:paraId="2C1B8DBF" w14:textId="77777777" w:rsidR="00A13046" w:rsidRDefault="00A13046">
          <w:pPr>
            <w:tabs>
              <w:tab w:val="left" w:pos="1490"/>
            </w:tabs>
            <w:rPr>
              <w:rFonts w:ascii="Cambria" w:hAnsi="Cambria"/>
              <w:sz w:val="28"/>
              <w:szCs w:val="28"/>
              <w:lang w:val="es-ES"/>
            </w:rPr>
          </w:pPr>
          <w:r>
            <w:rPr>
              <w:lang w:val="es-ES"/>
            </w:rPr>
            <w:fldChar w:fldCharType="begin"/>
          </w:r>
          <w:r>
            <w:rPr>
              <w:lang w:val="es-ES"/>
            </w:rPr>
            <w:instrText xml:space="preserve"> PAGE    \* MERGEFORMAT </w:instrText>
          </w:r>
          <w:r>
            <w:rPr>
              <w:lang w:val="es-ES"/>
            </w:rPr>
            <w:fldChar w:fldCharType="separate"/>
          </w:r>
          <w:r w:rsidR="00B66263" w:rsidRPr="00B66263">
            <w:rPr>
              <w:noProof/>
            </w:rPr>
            <w:t>24</w:t>
          </w:r>
          <w:r>
            <w:rPr>
              <w:lang w:val="es-ES"/>
            </w:rPr>
            <w:fldChar w:fldCharType="end"/>
          </w:r>
        </w:p>
      </w:tc>
    </w:tr>
  </w:tbl>
  <w:p w14:paraId="2C1B8DC1" w14:textId="77777777" w:rsidR="00A13046" w:rsidRDefault="00A1304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1B8DB7" w14:textId="77777777" w:rsidR="009A6D1B" w:rsidRDefault="009A6D1B" w:rsidP="003156E1">
      <w:r>
        <w:separator/>
      </w:r>
    </w:p>
  </w:footnote>
  <w:footnote w:type="continuationSeparator" w:id="0">
    <w:p w14:paraId="2C1B8DB8" w14:textId="77777777" w:rsidR="009A6D1B" w:rsidRDefault="009A6D1B" w:rsidP="003156E1">
      <w:r>
        <w:continuationSeparator/>
      </w:r>
    </w:p>
  </w:footnote>
  <w:footnote w:id="1">
    <w:p w14:paraId="2C1B8DC4" w14:textId="77777777" w:rsidR="00A13046" w:rsidRPr="00A47ABE" w:rsidRDefault="00A13046" w:rsidP="00DC6F16">
      <w:pPr>
        <w:pStyle w:val="Textonotapie"/>
        <w:rPr>
          <w:lang w:val="es-MX"/>
        </w:rPr>
      </w:pPr>
      <w:r w:rsidRPr="00C30B1D">
        <w:rPr>
          <w:rStyle w:val="Refdenotaalpie"/>
        </w:rPr>
        <w:footnoteRef/>
      </w:r>
      <w:r w:rsidRPr="00C30B1D">
        <w:t xml:space="preserve"> </w:t>
      </w:r>
      <w:r w:rsidRPr="00C30B1D">
        <w:rPr>
          <w:sz w:val="16"/>
          <w:lang w:val="es-MX"/>
        </w:rPr>
        <w:t>Ver apartado II.3.2. del presente informe.</w:t>
      </w:r>
      <w:r w:rsidRPr="00C676C1">
        <w:rPr>
          <w:sz w:val="16"/>
          <w:lang w:val="es-MX"/>
        </w:rPr>
        <w:t xml:space="preserve"> </w:t>
      </w:r>
    </w:p>
  </w:footnote>
  <w:footnote w:id="2">
    <w:p w14:paraId="2C1B8DC5" w14:textId="77777777" w:rsidR="00A13046" w:rsidRPr="00C676C1" w:rsidRDefault="00A13046" w:rsidP="00DC6F16">
      <w:pPr>
        <w:pStyle w:val="Textonotapie"/>
        <w:rPr>
          <w:sz w:val="16"/>
          <w:lang w:val="es-MX"/>
        </w:rPr>
      </w:pPr>
      <w:r w:rsidRPr="00DE4F63">
        <w:rPr>
          <w:rStyle w:val="Refdenotaalpie"/>
        </w:rPr>
        <w:footnoteRef/>
      </w:r>
      <w:r w:rsidRPr="00DE4F63">
        <w:t xml:space="preserve"> </w:t>
      </w:r>
      <w:r w:rsidRPr="00DE4F63">
        <w:rPr>
          <w:sz w:val="16"/>
          <w:lang w:val="es-MX"/>
        </w:rPr>
        <w:t>Ver anexo 3</w:t>
      </w:r>
    </w:p>
  </w:footnote>
  <w:footnote w:id="3">
    <w:p w14:paraId="2C1B8DC6" w14:textId="77777777" w:rsidR="00A13046" w:rsidRPr="00A47ABE" w:rsidRDefault="00A13046" w:rsidP="00906AD5">
      <w:pPr>
        <w:pStyle w:val="Textonotapie"/>
        <w:rPr>
          <w:lang w:val="es-MX"/>
        </w:rPr>
      </w:pPr>
      <w:r w:rsidRPr="00DE4F63">
        <w:rPr>
          <w:rStyle w:val="Refdenotaalpie"/>
        </w:rPr>
        <w:footnoteRef/>
      </w:r>
      <w:r w:rsidRPr="00DE4F63">
        <w:t xml:space="preserve"> </w:t>
      </w:r>
      <w:r w:rsidRPr="00DE4F63">
        <w:rPr>
          <w:sz w:val="16"/>
          <w:lang w:val="es-MX"/>
        </w:rPr>
        <w:t>Ver apartado II.3.2. del presente informe.</w:t>
      </w:r>
      <w:r w:rsidRPr="00C676C1">
        <w:rPr>
          <w:sz w:val="16"/>
          <w:lang w:val="es-MX"/>
        </w:rPr>
        <w:t xml:space="preserve"> </w:t>
      </w:r>
    </w:p>
  </w:footnote>
  <w:footnote w:id="4">
    <w:p w14:paraId="2C1B8DC7" w14:textId="77777777" w:rsidR="00A13046" w:rsidRPr="00582412" w:rsidRDefault="00A13046">
      <w:pPr>
        <w:pStyle w:val="Textonotapie"/>
      </w:pPr>
      <w:r w:rsidRPr="00DE4F63">
        <w:rPr>
          <w:rStyle w:val="Refdenotaalpie"/>
        </w:rPr>
        <w:footnoteRef/>
      </w:r>
      <w:r w:rsidRPr="00DE4F63">
        <w:t xml:space="preserve"> Ver anexo 4.</w:t>
      </w:r>
    </w:p>
  </w:footnote>
  <w:footnote w:id="5">
    <w:p w14:paraId="2C1B8DC8" w14:textId="77777777" w:rsidR="00A13046" w:rsidRPr="008C6FB6" w:rsidRDefault="00A13046">
      <w:pPr>
        <w:pStyle w:val="Textonotapie"/>
        <w:rPr>
          <w:sz w:val="16"/>
          <w:lang w:val="es-MX"/>
        </w:rPr>
      </w:pPr>
      <w:r>
        <w:rPr>
          <w:rStyle w:val="Refdenotaalpie"/>
        </w:rPr>
        <w:footnoteRef/>
      </w:r>
      <w:r>
        <w:t xml:space="preserve"> </w:t>
      </w:r>
      <w:r w:rsidRPr="008C6FB6">
        <w:rPr>
          <w:sz w:val="16"/>
          <w:lang w:val="es-MX"/>
        </w:rPr>
        <w:t>Mediante acuerdo INE/ACRT/51/2015 aprobado en la XII Sesión Ordinaria del Comité de Radio y Televisión</w:t>
      </w:r>
      <w:r>
        <w:rPr>
          <w:sz w:val="16"/>
          <w:lang w:val="es-MX"/>
        </w:rPr>
        <w:t>,</w:t>
      </w:r>
      <w:r w:rsidRPr="008C6FB6">
        <w:rPr>
          <w:sz w:val="16"/>
          <w:lang w:val="es-MX"/>
        </w:rPr>
        <w:t xml:space="preserve"> se determinó que el Partido del Trabajo sería incorporado al final del orden sucesivo hasta en tanto se realizara un nuevo sorteo.</w:t>
      </w:r>
    </w:p>
  </w:footnote>
  <w:footnote w:id="6">
    <w:p w14:paraId="2C1B8DC9" w14:textId="77777777" w:rsidR="00A13046" w:rsidRPr="00B34478" w:rsidRDefault="00A13046">
      <w:pPr>
        <w:pStyle w:val="Textonotapie"/>
        <w:rPr>
          <w:lang w:val="es-MX"/>
        </w:rPr>
      </w:pPr>
      <w:r w:rsidRPr="008C6FB6">
        <w:rPr>
          <w:rStyle w:val="Refdenotaalpie"/>
          <w:sz w:val="16"/>
        </w:rPr>
        <w:footnoteRef/>
      </w:r>
      <w:r w:rsidRPr="008C6FB6">
        <w:rPr>
          <w:sz w:val="16"/>
        </w:rPr>
        <w:t xml:space="preserve"> </w:t>
      </w:r>
      <w:r w:rsidRPr="008C6FB6">
        <w:rPr>
          <w:sz w:val="16"/>
          <w:lang w:val="es-MX"/>
        </w:rPr>
        <w:t xml:space="preserve">La reunión prevista para el 30 de noviembre a fin de abordar el tema de “Mapas de cobertura y catálogo de emisoras de radio y televisión” fue cancelada por motivos de agenda institucional y se </w:t>
      </w:r>
      <w:r>
        <w:rPr>
          <w:sz w:val="16"/>
          <w:lang w:val="es-MX"/>
        </w:rPr>
        <w:t>programó para</w:t>
      </w:r>
      <w:r w:rsidRPr="008C6FB6">
        <w:rPr>
          <w:sz w:val="16"/>
          <w:lang w:val="es-MX"/>
        </w:rPr>
        <w:t xml:space="preserve"> 2016.</w:t>
      </w:r>
    </w:p>
  </w:footnote>
  <w:footnote w:id="7">
    <w:p w14:paraId="2C1B8DCA" w14:textId="77777777" w:rsidR="00A13046" w:rsidRPr="00EE6435" w:rsidRDefault="00A13046">
      <w:pPr>
        <w:pStyle w:val="Textonotapie"/>
        <w:rPr>
          <w:lang w:val="es-MX"/>
        </w:rPr>
      </w:pPr>
      <w:r w:rsidRPr="00673910">
        <w:rPr>
          <w:rStyle w:val="Refdenotaalpie"/>
          <w:sz w:val="16"/>
        </w:rPr>
        <w:footnoteRef/>
      </w:r>
      <w:r w:rsidRPr="00673910">
        <w:rPr>
          <w:sz w:val="16"/>
        </w:rPr>
        <w:t xml:space="preserve"> </w:t>
      </w:r>
      <w:r w:rsidRPr="00673910">
        <w:rPr>
          <w:sz w:val="16"/>
          <w:lang w:val="es-MX"/>
        </w:rPr>
        <w:t>Ver anexo 5.</w:t>
      </w:r>
    </w:p>
  </w:footnote>
  <w:footnote w:id="8">
    <w:p w14:paraId="2C1B8DCB" w14:textId="77777777" w:rsidR="00A13046" w:rsidRPr="0086436B" w:rsidRDefault="00A13046" w:rsidP="00673910">
      <w:pPr>
        <w:pStyle w:val="Textonotapie"/>
        <w:jc w:val="both"/>
        <w:rPr>
          <w:lang w:val="es-MX"/>
        </w:rPr>
      </w:pPr>
      <w:r>
        <w:rPr>
          <w:rStyle w:val="Refdenotaalpie"/>
        </w:rPr>
        <w:footnoteRef/>
      </w:r>
      <w:r>
        <w:t xml:space="preserve"> </w:t>
      </w:r>
      <w:r>
        <w:rPr>
          <w:lang w:val="es-MX"/>
        </w:rPr>
        <w:t>Mayor información sobre los antecedentes de este apartado en el “</w:t>
      </w:r>
      <w:r w:rsidRPr="0086436B">
        <w:rPr>
          <w:lang w:val="es-MX"/>
        </w:rPr>
        <w:t>Informe Anual de Actividades del Comité de Radio y Televisión 2015</w:t>
      </w:r>
      <w:r>
        <w:rPr>
          <w:lang w:val="es-MX"/>
        </w:rPr>
        <w:t xml:space="preserve">”, págs. 25 a 28. Visible en la dirección electrónica </w:t>
      </w:r>
      <w:r w:rsidRPr="00895350">
        <w:rPr>
          <w:lang w:val="es-MX"/>
        </w:rPr>
        <w:t>http://www.ine.mx/archivos3/portal/historico/recursos/IFE-v2/DEPPP/DEPPP-ComiteRadioTelevision/DEPP-Informeslaborales/anexos/InfoAnualActividadesCRyTv2015.pdf</w:t>
      </w:r>
    </w:p>
  </w:footnote>
  <w:footnote w:id="9">
    <w:p w14:paraId="2C1B8DCC" w14:textId="77777777" w:rsidR="00A13046" w:rsidRPr="00CC36ED" w:rsidRDefault="00A13046" w:rsidP="00673910">
      <w:pPr>
        <w:pStyle w:val="Textonotapie"/>
        <w:jc w:val="both"/>
        <w:rPr>
          <w:lang w:val="es-MX"/>
        </w:rPr>
      </w:pPr>
      <w:r>
        <w:rPr>
          <w:rStyle w:val="Refdenotaalpie"/>
        </w:rPr>
        <w:footnoteRef/>
      </w:r>
      <w:r>
        <w:t xml:space="preserve"> </w:t>
      </w:r>
      <w:r>
        <w:rPr>
          <w:lang w:val="es-MX"/>
        </w:rPr>
        <w:t>Sesiones 6ª, 7ª, 8ª, 10ª, y 11ª ordinarias del 18 de junio, 23 de julio, 25 de agosto, 22 de octubre, y 30 de noviembre de 2015; 3ª, 5ª, 6ª, y 7ª  ordinarias del 17 de marzo, 26 de mayo, 16 de junio, y 21 de julio de 2016, respectivamente.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B8DBB" w14:textId="77777777" w:rsidR="00A13046" w:rsidRPr="00BA0E8E" w:rsidRDefault="00A13046" w:rsidP="000F10AA">
    <w:pPr>
      <w:pStyle w:val="Encabezado"/>
      <w:jc w:val="center"/>
      <w:rPr>
        <w:b/>
        <w:color w:val="767171" w:themeColor="background2" w:themeShade="80"/>
        <w:sz w:val="20"/>
        <w:lang w:val="es-MX"/>
      </w:rPr>
    </w:pPr>
    <w:r w:rsidRPr="00BA0E8E">
      <w:rPr>
        <w:b/>
        <w:color w:val="767171" w:themeColor="background2" w:themeShade="80"/>
        <w:sz w:val="20"/>
        <w:lang w:val="es-MX"/>
      </w:rPr>
      <w:t xml:space="preserve">INFORME DEL DR. BENITO NACIF COMO PRESIDENTE DEL COMITÉ DE RADIO Y TV </w:t>
    </w:r>
  </w:p>
  <w:p w14:paraId="2C1B8DBC" w14:textId="77777777" w:rsidR="00A13046" w:rsidRPr="000F10AA" w:rsidRDefault="00B66263" w:rsidP="000F10AA">
    <w:pPr>
      <w:pStyle w:val="Encabezado"/>
      <w:jc w:val="center"/>
      <w:rPr>
        <w:b/>
        <w:sz w:val="18"/>
        <w:lang w:val="es-MX"/>
      </w:rPr>
    </w:pPr>
    <w:r>
      <w:rPr>
        <w:b/>
        <w:color w:val="767171" w:themeColor="background2" w:themeShade="80"/>
        <w:sz w:val="20"/>
        <w:lang w:val="es-MX"/>
      </w:rPr>
      <w:pict w14:anchorId="2C1B8DC3">
        <v:rect id="_x0000_i1025" style="width:0;height:1.5pt" o:hralign="center" o:hrstd="t" o:hr="t" fillcolor="#a0a0a0" stroked="f"/>
      </w:pict>
    </w:r>
  </w:p>
  <w:p w14:paraId="2C1B8DBD" w14:textId="77777777" w:rsidR="00A13046" w:rsidRPr="000F10AA" w:rsidRDefault="00A13046" w:rsidP="000F10A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B8DC2" w14:textId="77777777" w:rsidR="00A13046" w:rsidRPr="000F10AA" w:rsidRDefault="00A13046" w:rsidP="000F10AA">
    <w:pPr>
      <w:pStyle w:val="Encabezado"/>
      <w:jc w:val="center"/>
      <w:rPr>
        <w:b/>
        <w:sz w:val="18"/>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7E7046"/>
    <w:multiLevelType w:val="hybridMultilevel"/>
    <w:tmpl w:val="022E13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B5A6283"/>
    <w:multiLevelType w:val="hybridMultilevel"/>
    <w:tmpl w:val="D760F5D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304B6E50"/>
    <w:multiLevelType w:val="hybridMultilevel"/>
    <w:tmpl w:val="9926CC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6785F33"/>
    <w:multiLevelType w:val="hybridMultilevel"/>
    <w:tmpl w:val="EB34B26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3340AFD"/>
    <w:multiLevelType w:val="hybridMultilevel"/>
    <w:tmpl w:val="8DEE8DCA"/>
    <w:lvl w:ilvl="0" w:tplc="080A0019">
      <w:start w:val="1"/>
      <w:numFmt w:val="lowerLetter"/>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63592286"/>
    <w:multiLevelType w:val="hybridMultilevel"/>
    <w:tmpl w:val="146848C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6B5A3D28"/>
    <w:multiLevelType w:val="hybridMultilevel"/>
    <w:tmpl w:val="BF5A61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585371D"/>
    <w:multiLevelType w:val="hybridMultilevel"/>
    <w:tmpl w:val="FA3672B0"/>
    <w:lvl w:ilvl="0" w:tplc="080A0017">
      <w:start w:val="1"/>
      <w:numFmt w:val="lowerLetter"/>
      <w:lvlText w:val="%1)"/>
      <w:lvlJc w:val="left"/>
      <w:pPr>
        <w:ind w:left="2112" w:hanging="360"/>
      </w:pPr>
      <w:rPr>
        <w:rFonts w:hint="default"/>
      </w:rPr>
    </w:lvl>
    <w:lvl w:ilvl="1" w:tplc="080A0019" w:tentative="1">
      <w:start w:val="1"/>
      <w:numFmt w:val="lowerLetter"/>
      <w:lvlText w:val="%2."/>
      <w:lvlJc w:val="left"/>
      <w:pPr>
        <w:ind w:left="2832" w:hanging="360"/>
      </w:pPr>
    </w:lvl>
    <w:lvl w:ilvl="2" w:tplc="080A001B" w:tentative="1">
      <w:start w:val="1"/>
      <w:numFmt w:val="lowerRoman"/>
      <w:lvlText w:val="%3."/>
      <w:lvlJc w:val="right"/>
      <w:pPr>
        <w:ind w:left="3552" w:hanging="180"/>
      </w:pPr>
    </w:lvl>
    <w:lvl w:ilvl="3" w:tplc="080A000F" w:tentative="1">
      <w:start w:val="1"/>
      <w:numFmt w:val="decimal"/>
      <w:lvlText w:val="%4."/>
      <w:lvlJc w:val="left"/>
      <w:pPr>
        <w:ind w:left="4272" w:hanging="360"/>
      </w:pPr>
    </w:lvl>
    <w:lvl w:ilvl="4" w:tplc="080A0019" w:tentative="1">
      <w:start w:val="1"/>
      <w:numFmt w:val="lowerLetter"/>
      <w:lvlText w:val="%5."/>
      <w:lvlJc w:val="left"/>
      <w:pPr>
        <w:ind w:left="4992" w:hanging="360"/>
      </w:pPr>
    </w:lvl>
    <w:lvl w:ilvl="5" w:tplc="080A001B" w:tentative="1">
      <w:start w:val="1"/>
      <w:numFmt w:val="lowerRoman"/>
      <w:lvlText w:val="%6."/>
      <w:lvlJc w:val="right"/>
      <w:pPr>
        <w:ind w:left="5712" w:hanging="180"/>
      </w:pPr>
    </w:lvl>
    <w:lvl w:ilvl="6" w:tplc="080A000F" w:tentative="1">
      <w:start w:val="1"/>
      <w:numFmt w:val="decimal"/>
      <w:lvlText w:val="%7."/>
      <w:lvlJc w:val="left"/>
      <w:pPr>
        <w:ind w:left="6432" w:hanging="360"/>
      </w:pPr>
    </w:lvl>
    <w:lvl w:ilvl="7" w:tplc="080A0019" w:tentative="1">
      <w:start w:val="1"/>
      <w:numFmt w:val="lowerLetter"/>
      <w:lvlText w:val="%8."/>
      <w:lvlJc w:val="left"/>
      <w:pPr>
        <w:ind w:left="7152" w:hanging="360"/>
      </w:pPr>
    </w:lvl>
    <w:lvl w:ilvl="8" w:tplc="080A001B" w:tentative="1">
      <w:start w:val="1"/>
      <w:numFmt w:val="lowerRoman"/>
      <w:lvlText w:val="%9."/>
      <w:lvlJc w:val="right"/>
      <w:pPr>
        <w:ind w:left="7872" w:hanging="180"/>
      </w:pPr>
    </w:lvl>
  </w:abstractNum>
  <w:abstractNum w:abstractNumId="8" w15:restartNumberingAfterBreak="0">
    <w:nsid w:val="7D12657E"/>
    <w:multiLevelType w:val="hybridMultilevel"/>
    <w:tmpl w:val="2918DEFA"/>
    <w:lvl w:ilvl="0" w:tplc="5650CF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5"/>
  </w:num>
  <w:num w:numId="5">
    <w:abstractNumId w:val="7"/>
  </w:num>
  <w:num w:numId="6">
    <w:abstractNumId w:val="8"/>
  </w:num>
  <w:num w:numId="7">
    <w:abstractNumId w:val="2"/>
  </w:num>
  <w:num w:numId="8">
    <w:abstractNumId w:val="6"/>
  </w:num>
  <w:num w:numId="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6E1"/>
    <w:rsid w:val="0000068E"/>
    <w:rsid w:val="00004663"/>
    <w:rsid w:val="00004F32"/>
    <w:rsid w:val="0000521F"/>
    <w:rsid w:val="0000740A"/>
    <w:rsid w:val="00011503"/>
    <w:rsid w:val="000140EB"/>
    <w:rsid w:val="000145D7"/>
    <w:rsid w:val="00015558"/>
    <w:rsid w:val="000160C8"/>
    <w:rsid w:val="00016221"/>
    <w:rsid w:val="00017AFE"/>
    <w:rsid w:val="00020070"/>
    <w:rsid w:val="000201AB"/>
    <w:rsid w:val="00020CBC"/>
    <w:rsid w:val="00020EEF"/>
    <w:rsid w:val="00020FC0"/>
    <w:rsid w:val="00023AA5"/>
    <w:rsid w:val="000260DA"/>
    <w:rsid w:val="00026335"/>
    <w:rsid w:val="000268D0"/>
    <w:rsid w:val="00027E10"/>
    <w:rsid w:val="00027F99"/>
    <w:rsid w:val="00027FC1"/>
    <w:rsid w:val="000302B2"/>
    <w:rsid w:val="0003083A"/>
    <w:rsid w:val="00031AC1"/>
    <w:rsid w:val="00032EB6"/>
    <w:rsid w:val="0003434D"/>
    <w:rsid w:val="00034C59"/>
    <w:rsid w:val="00034EE0"/>
    <w:rsid w:val="00036F6C"/>
    <w:rsid w:val="0004053D"/>
    <w:rsid w:val="00040D0F"/>
    <w:rsid w:val="00041B0D"/>
    <w:rsid w:val="000434D9"/>
    <w:rsid w:val="00051AE5"/>
    <w:rsid w:val="00054313"/>
    <w:rsid w:val="0005565F"/>
    <w:rsid w:val="00056ACD"/>
    <w:rsid w:val="00057384"/>
    <w:rsid w:val="000573D0"/>
    <w:rsid w:val="0005745D"/>
    <w:rsid w:val="000638BF"/>
    <w:rsid w:val="00063FDA"/>
    <w:rsid w:val="00065E06"/>
    <w:rsid w:val="00066DEF"/>
    <w:rsid w:val="000674F4"/>
    <w:rsid w:val="00070B58"/>
    <w:rsid w:val="00071504"/>
    <w:rsid w:val="000722FD"/>
    <w:rsid w:val="00072EBB"/>
    <w:rsid w:val="000733E7"/>
    <w:rsid w:val="00073D16"/>
    <w:rsid w:val="000811B5"/>
    <w:rsid w:val="0008189A"/>
    <w:rsid w:val="00082DBE"/>
    <w:rsid w:val="0008388D"/>
    <w:rsid w:val="00083BE1"/>
    <w:rsid w:val="00084883"/>
    <w:rsid w:val="00085C2A"/>
    <w:rsid w:val="000875EE"/>
    <w:rsid w:val="000905A2"/>
    <w:rsid w:val="000906E5"/>
    <w:rsid w:val="00091147"/>
    <w:rsid w:val="00091717"/>
    <w:rsid w:val="000919FB"/>
    <w:rsid w:val="00093A5B"/>
    <w:rsid w:val="00094048"/>
    <w:rsid w:val="0009414E"/>
    <w:rsid w:val="00097012"/>
    <w:rsid w:val="00097FEC"/>
    <w:rsid w:val="000A21D3"/>
    <w:rsid w:val="000A2D7F"/>
    <w:rsid w:val="000A3553"/>
    <w:rsid w:val="000A4004"/>
    <w:rsid w:val="000A73C5"/>
    <w:rsid w:val="000B23D4"/>
    <w:rsid w:val="000B4140"/>
    <w:rsid w:val="000B42B6"/>
    <w:rsid w:val="000B4524"/>
    <w:rsid w:val="000B5217"/>
    <w:rsid w:val="000B5B2A"/>
    <w:rsid w:val="000B606E"/>
    <w:rsid w:val="000B7393"/>
    <w:rsid w:val="000C00B6"/>
    <w:rsid w:val="000C0532"/>
    <w:rsid w:val="000C0801"/>
    <w:rsid w:val="000C08BC"/>
    <w:rsid w:val="000C11FC"/>
    <w:rsid w:val="000C163E"/>
    <w:rsid w:val="000C1C8D"/>
    <w:rsid w:val="000C2DC8"/>
    <w:rsid w:val="000C3547"/>
    <w:rsid w:val="000C4E9B"/>
    <w:rsid w:val="000C5C7A"/>
    <w:rsid w:val="000C63F2"/>
    <w:rsid w:val="000C6A46"/>
    <w:rsid w:val="000C7B91"/>
    <w:rsid w:val="000D02DA"/>
    <w:rsid w:val="000D0578"/>
    <w:rsid w:val="000D0686"/>
    <w:rsid w:val="000D3F91"/>
    <w:rsid w:val="000D483C"/>
    <w:rsid w:val="000D5590"/>
    <w:rsid w:val="000D6F05"/>
    <w:rsid w:val="000E20EA"/>
    <w:rsid w:val="000E2FCE"/>
    <w:rsid w:val="000E3E71"/>
    <w:rsid w:val="000E553E"/>
    <w:rsid w:val="000E582B"/>
    <w:rsid w:val="000E75B6"/>
    <w:rsid w:val="000E7B00"/>
    <w:rsid w:val="000E7D65"/>
    <w:rsid w:val="000F095C"/>
    <w:rsid w:val="000F0F6B"/>
    <w:rsid w:val="000F10AA"/>
    <w:rsid w:val="000F11B2"/>
    <w:rsid w:val="000F1C37"/>
    <w:rsid w:val="000F2436"/>
    <w:rsid w:val="000F292C"/>
    <w:rsid w:val="000F2C6F"/>
    <w:rsid w:val="000F4921"/>
    <w:rsid w:val="000F582D"/>
    <w:rsid w:val="000F701B"/>
    <w:rsid w:val="000F72C7"/>
    <w:rsid w:val="000F7976"/>
    <w:rsid w:val="00100C6D"/>
    <w:rsid w:val="00103CB3"/>
    <w:rsid w:val="00103F4C"/>
    <w:rsid w:val="00105BB5"/>
    <w:rsid w:val="00106467"/>
    <w:rsid w:val="00107B24"/>
    <w:rsid w:val="00113D35"/>
    <w:rsid w:val="00114ABE"/>
    <w:rsid w:val="001152C8"/>
    <w:rsid w:val="001178DC"/>
    <w:rsid w:val="00117A42"/>
    <w:rsid w:val="00120261"/>
    <w:rsid w:val="0012280D"/>
    <w:rsid w:val="00123608"/>
    <w:rsid w:val="001237A0"/>
    <w:rsid w:val="00124997"/>
    <w:rsid w:val="00126454"/>
    <w:rsid w:val="00127EAF"/>
    <w:rsid w:val="00130EBF"/>
    <w:rsid w:val="001320EC"/>
    <w:rsid w:val="00133ECE"/>
    <w:rsid w:val="00135471"/>
    <w:rsid w:val="001357DA"/>
    <w:rsid w:val="00135FC1"/>
    <w:rsid w:val="00141904"/>
    <w:rsid w:val="00141D8F"/>
    <w:rsid w:val="00141EE5"/>
    <w:rsid w:val="00143111"/>
    <w:rsid w:val="00143BA2"/>
    <w:rsid w:val="00145162"/>
    <w:rsid w:val="00146FD5"/>
    <w:rsid w:val="00147284"/>
    <w:rsid w:val="00147829"/>
    <w:rsid w:val="00150468"/>
    <w:rsid w:val="00150690"/>
    <w:rsid w:val="00150869"/>
    <w:rsid w:val="001511E8"/>
    <w:rsid w:val="001518C1"/>
    <w:rsid w:val="0015235E"/>
    <w:rsid w:val="0015562C"/>
    <w:rsid w:val="00156889"/>
    <w:rsid w:val="001570C3"/>
    <w:rsid w:val="0015749C"/>
    <w:rsid w:val="001579CB"/>
    <w:rsid w:val="00160CB8"/>
    <w:rsid w:val="00161064"/>
    <w:rsid w:val="00161B6E"/>
    <w:rsid w:val="0016585E"/>
    <w:rsid w:val="00165973"/>
    <w:rsid w:val="00167C77"/>
    <w:rsid w:val="00167D6B"/>
    <w:rsid w:val="00167F79"/>
    <w:rsid w:val="00171513"/>
    <w:rsid w:val="001721A3"/>
    <w:rsid w:val="00173755"/>
    <w:rsid w:val="00173F71"/>
    <w:rsid w:val="00173FA4"/>
    <w:rsid w:val="00175F87"/>
    <w:rsid w:val="00176E0F"/>
    <w:rsid w:val="0017721D"/>
    <w:rsid w:val="00180372"/>
    <w:rsid w:val="001809D4"/>
    <w:rsid w:val="001820CC"/>
    <w:rsid w:val="00183ED1"/>
    <w:rsid w:val="00184E21"/>
    <w:rsid w:val="001943C3"/>
    <w:rsid w:val="00194870"/>
    <w:rsid w:val="0019620E"/>
    <w:rsid w:val="00196617"/>
    <w:rsid w:val="00196F7C"/>
    <w:rsid w:val="001976E9"/>
    <w:rsid w:val="001A158C"/>
    <w:rsid w:val="001A1660"/>
    <w:rsid w:val="001A1A7A"/>
    <w:rsid w:val="001A242E"/>
    <w:rsid w:val="001A4D0B"/>
    <w:rsid w:val="001A58E8"/>
    <w:rsid w:val="001A6312"/>
    <w:rsid w:val="001A74C1"/>
    <w:rsid w:val="001A769B"/>
    <w:rsid w:val="001B1584"/>
    <w:rsid w:val="001B181C"/>
    <w:rsid w:val="001B2A42"/>
    <w:rsid w:val="001B3842"/>
    <w:rsid w:val="001B39A3"/>
    <w:rsid w:val="001B44BA"/>
    <w:rsid w:val="001B4541"/>
    <w:rsid w:val="001B4FD7"/>
    <w:rsid w:val="001B5BC2"/>
    <w:rsid w:val="001C042F"/>
    <w:rsid w:val="001C306B"/>
    <w:rsid w:val="001C4A6E"/>
    <w:rsid w:val="001C4EE2"/>
    <w:rsid w:val="001C50C8"/>
    <w:rsid w:val="001C5735"/>
    <w:rsid w:val="001C7164"/>
    <w:rsid w:val="001C7445"/>
    <w:rsid w:val="001C7813"/>
    <w:rsid w:val="001D1717"/>
    <w:rsid w:val="001D1A42"/>
    <w:rsid w:val="001D4A78"/>
    <w:rsid w:val="001D5AD6"/>
    <w:rsid w:val="001D5CCE"/>
    <w:rsid w:val="001D5DD8"/>
    <w:rsid w:val="001D6A65"/>
    <w:rsid w:val="001D7316"/>
    <w:rsid w:val="001E0411"/>
    <w:rsid w:val="001E0460"/>
    <w:rsid w:val="001E056F"/>
    <w:rsid w:val="001E0B15"/>
    <w:rsid w:val="001E1301"/>
    <w:rsid w:val="001E5AB1"/>
    <w:rsid w:val="001E5E98"/>
    <w:rsid w:val="001E624E"/>
    <w:rsid w:val="001E67F7"/>
    <w:rsid w:val="001E7452"/>
    <w:rsid w:val="001E7CE8"/>
    <w:rsid w:val="001E7F21"/>
    <w:rsid w:val="001F06C9"/>
    <w:rsid w:val="001F1CF9"/>
    <w:rsid w:val="001F25EE"/>
    <w:rsid w:val="001F365D"/>
    <w:rsid w:val="001F3A93"/>
    <w:rsid w:val="001F3F86"/>
    <w:rsid w:val="001F4500"/>
    <w:rsid w:val="001F56D2"/>
    <w:rsid w:val="00201638"/>
    <w:rsid w:val="002018EF"/>
    <w:rsid w:val="00201CDD"/>
    <w:rsid w:val="00201F58"/>
    <w:rsid w:val="00202717"/>
    <w:rsid w:val="002034BF"/>
    <w:rsid w:val="00203B49"/>
    <w:rsid w:val="00204972"/>
    <w:rsid w:val="0020498C"/>
    <w:rsid w:val="00205A78"/>
    <w:rsid w:val="00207543"/>
    <w:rsid w:val="00207BB5"/>
    <w:rsid w:val="00207D12"/>
    <w:rsid w:val="00207EE7"/>
    <w:rsid w:val="00210F0A"/>
    <w:rsid w:val="0021137F"/>
    <w:rsid w:val="002133AC"/>
    <w:rsid w:val="002147FE"/>
    <w:rsid w:val="00216244"/>
    <w:rsid w:val="00216F38"/>
    <w:rsid w:val="00217140"/>
    <w:rsid w:val="00217E83"/>
    <w:rsid w:val="002200DB"/>
    <w:rsid w:val="002216A6"/>
    <w:rsid w:val="00221941"/>
    <w:rsid w:val="00225283"/>
    <w:rsid w:val="00226AAE"/>
    <w:rsid w:val="0023278E"/>
    <w:rsid w:val="00232FD6"/>
    <w:rsid w:val="00234656"/>
    <w:rsid w:val="00234F4A"/>
    <w:rsid w:val="00235579"/>
    <w:rsid w:val="00236886"/>
    <w:rsid w:val="00237947"/>
    <w:rsid w:val="00240201"/>
    <w:rsid w:val="00240C39"/>
    <w:rsid w:val="0024240E"/>
    <w:rsid w:val="00242C6D"/>
    <w:rsid w:val="00242D38"/>
    <w:rsid w:val="00244477"/>
    <w:rsid w:val="00244837"/>
    <w:rsid w:val="002450BC"/>
    <w:rsid w:val="00245F4A"/>
    <w:rsid w:val="00246702"/>
    <w:rsid w:val="0024764B"/>
    <w:rsid w:val="00247A07"/>
    <w:rsid w:val="00247A7C"/>
    <w:rsid w:val="0025068F"/>
    <w:rsid w:val="00250DCC"/>
    <w:rsid w:val="00251F32"/>
    <w:rsid w:val="00251F3A"/>
    <w:rsid w:val="0025309F"/>
    <w:rsid w:val="00253609"/>
    <w:rsid w:val="00255D0E"/>
    <w:rsid w:val="00255DA6"/>
    <w:rsid w:val="002562C5"/>
    <w:rsid w:val="00256D47"/>
    <w:rsid w:val="00257099"/>
    <w:rsid w:val="002572C0"/>
    <w:rsid w:val="00257931"/>
    <w:rsid w:val="00257B9B"/>
    <w:rsid w:val="00260E9D"/>
    <w:rsid w:val="0026192C"/>
    <w:rsid w:val="00263139"/>
    <w:rsid w:val="00263CC2"/>
    <w:rsid w:val="00263E64"/>
    <w:rsid w:val="0026410A"/>
    <w:rsid w:val="00264250"/>
    <w:rsid w:val="00264402"/>
    <w:rsid w:val="00265F75"/>
    <w:rsid w:val="0026727A"/>
    <w:rsid w:val="002700B6"/>
    <w:rsid w:val="00271857"/>
    <w:rsid w:val="0027374A"/>
    <w:rsid w:val="002744E9"/>
    <w:rsid w:val="00274E49"/>
    <w:rsid w:val="00276375"/>
    <w:rsid w:val="00281D9E"/>
    <w:rsid w:val="00282289"/>
    <w:rsid w:val="00282561"/>
    <w:rsid w:val="00282A35"/>
    <w:rsid w:val="00283244"/>
    <w:rsid w:val="00283254"/>
    <w:rsid w:val="00284537"/>
    <w:rsid w:val="00284566"/>
    <w:rsid w:val="002849F3"/>
    <w:rsid w:val="00291186"/>
    <w:rsid w:val="00291CD5"/>
    <w:rsid w:val="00293971"/>
    <w:rsid w:val="00293E6E"/>
    <w:rsid w:val="00294602"/>
    <w:rsid w:val="002962E4"/>
    <w:rsid w:val="002A05CF"/>
    <w:rsid w:val="002A12D0"/>
    <w:rsid w:val="002A1330"/>
    <w:rsid w:val="002A1421"/>
    <w:rsid w:val="002A21B4"/>
    <w:rsid w:val="002A25BD"/>
    <w:rsid w:val="002A39B9"/>
    <w:rsid w:val="002A4309"/>
    <w:rsid w:val="002A48F9"/>
    <w:rsid w:val="002A72EB"/>
    <w:rsid w:val="002B0D54"/>
    <w:rsid w:val="002B1CAE"/>
    <w:rsid w:val="002B254A"/>
    <w:rsid w:val="002B26BC"/>
    <w:rsid w:val="002B36D0"/>
    <w:rsid w:val="002B39DD"/>
    <w:rsid w:val="002B45E7"/>
    <w:rsid w:val="002B574D"/>
    <w:rsid w:val="002B59F2"/>
    <w:rsid w:val="002B7B36"/>
    <w:rsid w:val="002C0449"/>
    <w:rsid w:val="002C07FE"/>
    <w:rsid w:val="002C2469"/>
    <w:rsid w:val="002C2C53"/>
    <w:rsid w:val="002C2CC8"/>
    <w:rsid w:val="002C39D9"/>
    <w:rsid w:val="002C4023"/>
    <w:rsid w:val="002C415F"/>
    <w:rsid w:val="002C5062"/>
    <w:rsid w:val="002C5213"/>
    <w:rsid w:val="002C6BFE"/>
    <w:rsid w:val="002C6DBE"/>
    <w:rsid w:val="002D294C"/>
    <w:rsid w:val="002D333C"/>
    <w:rsid w:val="002D3475"/>
    <w:rsid w:val="002D409F"/>
    <w:rsid w:val="002D45C1"/>
    <w:rsid w:val="002D6052"/>
    <w:rsid w:val="002D63CA"/>
    <w:rsid w:val="002D64BD"/>
    <w:rsid w:val="002D74C5"/>
    <w:rsid w:val="002E4C85"/>
    <w:rsid w:val="002E59D4"/>
    <w:rsid w:val="002E5A96"/>
    <w:rsid w:val="002E5C04"/>
    <w:rsid w:val="002E6620"/>
    <w:rsid w:val="002E7316"/>
    <w:rsid w:val="002E7B48"/>
    <w:rsid w:val="002F055E"/>
    <w:rsid w:val="002F0633"/>
    <w:rsid w:val="002F15A5"/>
    <w:rsid w:val="002F16AF"/>
    <w:rsid w:val="002F225E"/>
    <w:rsid w:val="002F2581"/>
    <w:rsid w:val="002F31B0"/>
    <w:rsid w:val="002F4A42"/>
    <w:rsid w:val="002F6007"/>
    <w:rsid w:val="002F6C07"/>
    <w:rsid w:val="002F7655"/>
    <w:rsid w:val="00300FB3"/>
    <w:rsid w:val="00302A81"/>
    <w:rsid w:val="00302D7F"/>
    <w:rsid w:val="003066E7"/>
    <w:rsid w:val="0031090D"/>
    <w:rsid w:val="00310FF8"/>
    <w:rsid w:val="0031113B"/>
    <w:rsid w:val="00313086"/>
    <w:rsid w:val="00313487"/>
    <w:rsid w:val="003137DE"/>
    <w:rsid w:val="003139C7"/>
    <w:rsid w:val="00314492"/>
    <w:rsid w:val="00314577"/>
    <w:rsid w:val="00314AF3"/>
    <w:rsid w:val="0031561B"/>
    <w:rsid w:val="003156E1"/>
    <w:rsid w:val="00315B0F"/>
    <w:rsid w:val="00317005"/>
    <w:rsid w:val="0031771F"/>
    <w:rsid w:val="00317CCC"/>
    <w:rsid w:val="003205FF"/>
    <w:rsid w:val="00322047"/>
    <w:rsid w:val="00322668"/>
    <w:rsid w:val="00322E18"/>
    <w:rsid w:val="0032303E"/>
    <w:rsid w:val="003233A2"/>
    <w:rsid w:val="003248F1"/>
    <w:rsid w:val="003252C9"/>
    <w:rsid w:val="00325903"/>
    <w:rsid w:val="003278C4"/>
    <w:rsid w:val="003279A5"/>
    <w:rsid w:val="00330251"/>
    <w:rsid w:val="003312A5"/>
    <w:rsid w:val="0033233A"/>
    <w:rsid w:val="00334B21"/>
    <w:rsid w:val="00335EFC"/>
    <w:rsid w:val="003360EA"/>
    <w:rsid w:val="003374EC"/>
    <w:rsid w:val="00337D53"/>
    <w:rsid w:val="00340597"/>
    <w:rsid w:val="003418D0"/>
    <w:rsid w:val="0034472A"/>
    <w:rsid w:val="003447BC"/>
    <w:rsid w:val="00344912"/>
    <w:rsid w:val="0034562E"/>
    <w:rsid w:val="00346792"/>
    <w:rsid w:val="0034763D"/>
    <w:rsid w:val="003479C2"/>
    <w:rsid w:val="00347FCA"/>
    <w:rsid w:val="00350C77"/>
    <w:rsid w:val="00352FDE"/>
    <w:rsid w:val="00355419"/>
    <w:rsid w:val="00355C33"/>
    <w:rsid w:val="00355C3E"/>
    <w:rsid w:val="003560C7"/>
    <w:rsid w:val="00360CBC"/>
    <w:rsid w:val="00361032"/>
    <w:rsid w:val="00361B13"/>
    <w:rsid w:val="0036235D"/>
    <w:rsid w:val="003626E1"/>
    <w:rsid w:val="00362BF1"/>
    <w:rsid w:val="003639B0"/>
    <w:rsid w:val="003655C1"/>
    <w:rsid w:val="00365A43"/>
    <w:rsid w:val="00367813"/>
    <w:rsid w:val="0037045B"/>
    <w:rsid w:val="00371166"/>
    <w:rsid w:val="0037159C"/>
    <w:rsid w:val="003719BC"/>
    <w:rsid w:val="00373920"/>
    <w:rsid w:val="0037596E"/>
    <w:rsid w:val="00375A85"/>
    <w:rsid w:val="003765F1"/>
    <w:rsid w:val="0038208C"/>
    <w:rsid w:val="003833AF"/>
    <w:rsid w:val="00384ED7"/>
    <w:rsid w:val="00386417"/>
    <w:rsid w:val="00386AF9"/>
    <w:rsid w:val="0039000D"/>
    <w:rsid w:val="003929F3"/>
    <w:rsid w:val="00392D61"/>
    <w:rsid w:val="00393EFF"/>
    <w:rsid w:val="00396C02"/>
    <w:rsid w:val="00397323"/>
    <w:rsid w:val="00397C19"/>
    <w:rsid w:val="003A06EF"/>
    <w:rsid w:val="003A1976"/>
    <w:rsid w:val="003A5604"/>
    <w:rsid w:val="003A65B2"/>
    <w:rsid w:val="003A672D"/>
    <w:rsid w:val="003A6AAF"/>
    <w:rsid w:val="003B1D7A"/>
    <w:rsid w:val="003B3566"/>
    <w:rsid w:val="003B36EB"/>
    <w:rsid w:val="003B516E"/>
    <w:rsid w:val="003B5924"/>
    <w:rsid w:val="003B657F"/>
    <w:rsid w:val="003C0E8D"/>
    <w:rsid w:val="003C1225"/>
    <w:rsid w:val="003C2870"/>
    <w:rsid w:val="003C2DB0"/>
    <w:rsid w:val="003C3434"/>
    <w:rsid w:val="003C3803"/>
    <w:rsid w:val="003C414D"/>
    <w:rsid w:val="003C4AFB"/>
    <w:rsid w:val="003C4BC9"/>
    <w:rsid w:val="003C5567"/>
    <w:rsid w:val="003C574A"/>
    <w:rsid w:val="003C6797"/>
    <w:rsid w:val="003C6E3F"/>
    <w:rsid w:val="003C7BBE"/>
    <w:rsid w:val="003D04E9"/>
    <w:rsid w:val="003D13C7"/>
    <w:rsid w:val="003D2047"/>
    <w:rsid w:val="003D462D"/>
    <w:rsid w:val="003D483F"/>
    <w:rsid w:val="003D4900"/>
    <w:rsid w:val="003D5299"/>
    <w:rsid w:val="003D56C3"/>
    <w:rsid w:val="003E0F65"/>
    <w:rsid w:val="003E3640"/>
    <w:rsid w:val="003E36DB"/>
    <w:rsid w:val="003E408D"/>
    <w:rsid w:val="003E5C51"/>
    <w:rsid w:val="003F1766"/>
    <w:rsid w:val="003F2E89"/>
    <w:rsid w:val="003F355B"/>
    <w:rsid w:val="003F3E61"/>
    <w:rsid w:val="003F46FD"/>
    <w:rsid w:val="003F595D"/>
    <w:rsid w:val="00400716"/>
    <w:rsid w:val="00400EE7"/>
    <w:rsid w:val="00401A9F"/>
    <w:rsid w:val="00402A5F"/>
    <w:rsid w:val="004047D8"/>
    <w:rsid w:val="00406136"/>
    <w:rsid w:val="00406E11"/>
    <w:rsid w:val="00407A77"/>
    <w:rsid w:val="00410D06"/>
    <w:rsid w:val="0041103C"/>
    <w:rsid w:val="0041220B"/>
    <w:rsid w:val="004129A2"/>
    <w:rsid w:val="00412B68"/>
    <w:rsid w:val="00412DED"/>
    <w:rsid w:val="004146C3"/>
    <w:rsid w:val="00416483"/>
    <w:rsid w:val="00421A57"/>
    <w:rsid w:val="00423D4C"/>
    <w:rsid w:val="00423F0B"/>
    <w:rsid w:val="00425587"/>
    <w:rsid w:val="00426A01"/>
    <w:rsid w:val="004273CF"/>
    <w:rsid w:val="004301F3"/>
    <w:rsid w:val="00430FAA"/>
    <w:rsid w:val="004313C8"/>
    <w:rsid w:val="00431463"/>
    <w:rsid w:val="00431729"/>
    <w:rsid w:val="00431C0B"/>
    <w:rsid w:val="0043258A"/>
    <w:rsid w:val="00433F96"/>
    <w:rsid w:val="00434561"/>
    <w:rsid w:val="00435669"/>
    <w:rsid w:val="0043726A"/>
    <w:rsid w:val="00440959"/>
    <w:rsid w:val="00440E36"/>
    <w:rsid w:val="00441556"/>
    <w:rsid w:val="004423E5"/>
    <w:rsid w:val="0044613E"/>
    <w:rsid w:val="00446593"/>
    <w:rsid w:val="00447A26"/>
    <w:rsid w:val="00447E76"/>
    <w:rsid w:val="00450604"/>
    <w:rsid w:val="00450664"/>
    <w:rsid w:val="004522E6"/>
    <w:rsid w:val="00452754"/>
    <w:rsid w:val="00454CDB"/>
    <w:rsid w:val="004555F1"/>
    <w:rsid w:val="00456C8B"/>
    <w:rsid w:val="004577B5"/>
    <w:rsid w:val="00457825"/>
    <w:rsid w:val="004602F5"/>
    <w:rsid w:val="004603C7"/>
    <w:rsid w:val="00461307"/>
    <w:rsid w:val="0046138D"/>
    <w:rsid w:val="004617B1"/>
    <w:rsid w:val="004624A6"/>
    <w:rsid w:val="00464174"/>
    <w:rsid w:val="0046425F"/>
    <w:rsid w:val="00466F88"/>
    <w:rsid w:val="00467C67"/>
    <w:rsid w:val="004705FC"/>
    <w:rsid w:val="00470E63"/>
    <w:rsid w:val="00471D0B"/>
    <w:rsid w:val="004722A4"/>
    <w:rsid w:val="004730C8"/>
    <w:rsid w:val="00475CCB"/>
    <w:rsid w:val="00480767"/>
    <w:rsid w:val="00480CF8"/>
    <w:rsid w:val="00482168"/>
    <w:rsid w:val="00483E1E"/>
    <w:rsid w:val="00483E3B"/>
    <w:rsid w:val="00484D11"/>
    <w:rsid w:val="00484D52"/>
    <w:rsid w:val="00484EF5"/>
    <w:rsid w:val="00485137"/>
    <w:rsid w:val="0048524B"/>
    <w:rsid w:val="004862E0"/>
    <w:rsid w:val="00486691"/>
    <w:rsid w:val="00486E5D"/>
    <w:rsid w:val="00487577"/>
    <w:rsid w:val="00487F14"/>
    <w:rsid w:val="00490870"/>
    <w:rsid w:val="004926DE"/>
    <w:rsid w:val="0049278D"/>
    <w:rsid w:val="00493988"/>
    <w:rsid w:val="004946EE"/>
    <w:rsid w:val="00494861"/>
    <w:rsid w:val="00494C66"/>
    <w:rsid w:val="004951F6"/>
    <w:rsid w:val="004955C5"/>
    <w:rsid w:val="004969C0"/>
    <w:rsid w:val="004969FA"/>
    <w:rsid w:val="004A098F"/>
    <w:rsid w:val="004A176A"/>
    <w:rsid w:val="004A1D92"/>
    <w:rsid w:val="004A1DC7"/>
    <w:rsid w:val="004B00B1"/>
    <w:rsid w:val="004B0B71"/>
    <w:rsid w:val="004B0B86"/>
    <w:rsid w:val="004B1634"/>
    <w:rsid w:val="004B1B02"/>
    <w:rsid w:val="004B1FD5"/>
    <w:rsid w:val="004B2E7D"/>
    <w:rsid w:val="004B361F"/>
    <w:rsid w:val="004B48D9"/>
    <w:rsid w:val="004B4D34"/>
    <w:rsid w:val="004B6B98"/>
    <w:rsid w:val="004C3582"/>
    <w:rsid w:val="004C39A7"/>
    <w:rsid w:val="004C3D79"/>
    <w:rsid w:val="004C62F2"/>
    <w:rsid w:val="004C6935"/>
    <w:rsid w:val="004C73AA"/>
    <w:rsid w:val="004D0A1A"/>
    <w:rsid w:val="004D1176"/>
    <w:rsid w:val="004D179A"/>
    <w:rsid w:val="004D182A"/>
    <w:rsid w:val="004D1C99"/>
    <w:rsid w:val="004D31F9"/>
    <w:rsid w:val="004D34E3"/>
    <w:rsid w:val="004D3558"/>
    <w:rsid w:val="004D36F0"/>
    <w:rsid w:val="004D40E2"/>
    <w:rsid w:val="004D456C"/>
    <w:rsid w:val="004D55FF"/>
    <w:rsid w:val="004D5CA4"/>
    <w:rsid w:val="004D5D34"/>
    <w:rsid w:val="004D5E09"/>
    <w:rsid w:val="004D637C"/>
    <w:rsid w:val="004D64EA"/>
    <w:rsid w:val="004D6980"/>
    <w:rsid w:val="004D73F3"/>
    <w:rsid w:val="004D74E6"/>
    <w:rsid w:val="004E0413"/>
    <w:rsid w:val="004E0575"/>
    <w:rsid w:val="004E0931"/>
    <w:rsid w:val="004E10B6"/>
    <w:rsid w:val="004E2E33"/>
    <w:rsid w:val="004E3274"/>
    <w:rsid w:val="004E43D7"/>
    <w:rsid w:val="004E61CC"/>
    <w:rsid w:val="004E698B"/>
    <w:rsid w:val="004E7C8B"/>
    <w:rsid w:val="004F221B"/>
    <w:rsid w:val="004F2A2C"/>
    <w:rsid w:val="004F370C"/>
    <w:rsid w:val="004F397D"/>
    <w:rsid w:val="004F3A06"/>
    <w:rsid w:val="004F4AFD"/>
    <w:rsid w:val="004F4FC6"/>
    <w:rsid w:val="004F69CA"/>
    <w:rsid w:val="004F6F68"/>
    <w:rsid w:val="005004AD"/>
    <w:rsid w:val="00501D3A"/>
    <w:rsid w:val="00502F7F"/>
    <w:rsid w:val="005045D8"/>
    <w:rsid w:val="00504D75"/>
    <w:rsid w:val="0050501E"/>
    <w:rsid w:val="00505C53"/>
    <w:rsid w:val="005065DF"/>
    <w:rsid w:val="00507841"/>
    <w:rsid w:val="00507934"/>
    <w:rsid w:val="00507C45"/>
    <w:rsid w:val="00507CBC"/>
    <w:rsid w:val="00510107"/>
    <w:rsid w:val="005110D8"/>
    <w:rsid w:val="0051263A"/>
    <w:rsid w:val="00512823"/>
    <w:rsid w:val="00513242"/>
    <w:rsid w:val="005156C9"/>
    <w:rsid w:val="005175F8"/>
    <w:rsid w:val="005207F7"/>
    <w:rsid w:val="00521621"/>
    <w:rsid w:val="00522240"/>
    <w:rsid w:val="00523421"/>
    <w:rsid w:val="00523888"/>
    <w:rsid w:val="00523A99"/>
    <w:rsid w:val="00523F40"/>
    <w:rsid w:val="00524EF0"/>
    <w:rsid w:val="0052577F"/>
    <w:rsid w:val="00525CC0"/>
    <w:rsid w:val="00525DAC"/>
    <w:rsid w:val="00527AD6"/>
    <w:rsid w:val="00531A11"/>
    <w:rsid w:val="00532C8C"/>
    <w:rsid w:val="00536250"/>
    <w:rsid w:val="00536906"/>
    <w:rsid w:val="00536975"/>
    <w:rsid w:val="00536E67"/>
    <w:rsid w:val="00541280"/>
    <w:rsid w:val="00541CA1"/>
    <w:rsid w:val="00542065"/>
    <w:rsid w:val="005424E5"/>
    <w:rsid w:val="00544DFB"/>
    <w:rsid w:val="00546509"/>
    <w:rsid w:val="005500A0"/>
    <w:rsid w:val="00550D84"/>
    <w:rsid w:val="0055217B"/>
    <w:rsid w:val="00552436"/>
    <w:rsid w:val="00552E92"/>
    <w:rsid w:val="00555230"/>
    <w:rsid w:val="0055525B"/>
    <w:rsid w:val="005555EA"/>
    <w:rsid w:val="00557E6E"/>
    <w:rsid w:val="0056068B"/>
    <w:rsid w:val="00560F2D"/>
    <w:rsid w:val="00561E0E"/>
    <w:rsid w:val="00564F57"/>
    <w:rsid w:val="0056528A"/>
    <w:rsid w:val="00566400"/>
    <w:rsid w:val="00567E3B"/>
    <w:rsid w:val="00570C24"/>
    <w:rsid w:val="00570D97"/>
    <w:rsid w:val="0057132D"/>
    <w:rsid w:val="0057183D"/>
    <w:rsid w:val="00571855"/>
    <w:rsid w:val="00571925"/>
    <w:rsid w:val="00571AE4"/>
    <w:rsid w:val="0057274B"/>
    <w:rsid w:val="005733D8"/>
    <w:rsid w:val="00573E00"/>
    <w:rsid w:val="00573F42"/>
    <w:rsid w:val="0057493D"/>
    <w:rsid w:val="005755ED"/>
    <w:rsid w:val="005768B6"/>
    <w:rsid w:val="005770B8"/>
    <w:rsid w:val="0058184B"/>
    <w:rsid w:val="00582412"/>
    <w:rsid w:val="005826F6"/>
    <w:rsid w:val="00583EFA"/>
    <w:rsid w:val="00584340"/>
    <w:rsid w:val="00584670"/>
    <w:rsid w:val="00585F45"/>
    <w:rsid w:val="00586AFC"/>
    <w:rsid w:val="0058734E"/>
    <w:rsid w:val="00592B56"/>
    <w:rsid w:val="00592E98"/>
    <w:rsid w:val="00593778"/>
    <w:rsid w:val="00593B8F"/>
    <w:rsid w:val="00593B9B"/>
    <w:rsid w:val="005940D3"/>
    <w:rsid w:val="00595967"/>
    <w:rsid w:val="00595D1A"/>
    <w:rsid w:val="00597B51"/>
    <w:rsid w:val="005A07C2"/>
    <w:rsid w:val="005A0B36"/>
    <w:rsid w:val="005A159E"/>
    <w:rsid w:val="005A16ED"/>
    <w:rsid w:val="005A1783"/>
    <w:rsid w:val="005A1E22"/>
    <w:rsid w:val="005A33E0"/>
    <w:rsid w:val="005A34AD"/>
    <w:rsid w:val="005A400D"/>
    <w:rsid w:val="005A4020"/>
    <w:rsid w:val="005A5F03"/>
    <w:rsid w:val="005A66A0"/>
    <w:rsid w:val="005A6915"/>
    <w:rsid w:val="005A6A7C"/>
    <w:rsid w:val="005A753A"/>
    <w:rsid w:val="005B074E"/>
    <w:rsid w:val="005B0962"/>
    <w:rsid w:val="005B1172"/>
    <w:rsid w:val="005B13E6"/>
    <w:rsid w:val="005B18EB"/>
    <w:rsid w:val="005B3509"/>
    <w:rsid w:val="005B3781"/>
    <w:rsid w:val="005B40E4"/>
    <w:rsid w:val="005B4F67"/>
    <w:rsid w:val="005B513D"/>
    <w:rsid w:val="005B75AB"/>
    <w:rsid w:val="005B7952"/>
    <w:rsid w:val="005C05D7"/>
    <w:rsid w:val="005C0ABF"/>
    <w:rsid w:val="005C1CF8"/>
    <w:rsid w:val="005C1D4F"/>
    <w:rsid w:val="005C2476"/>
    <w:rsid w:val="005C37A8"/>
    <w:rsid w:val="005C4E08"/>
    <w:rsid w:val="005C570A"/>
    <w:rsid w:val="005C5ECC"/>
    <w:rsid w:val="005C60EE"/>
    <w:rsid w:val="005C6177"/>
    <w:rsid w:val="005C6B6D"/>
    <w:rsid w:val="005C6ED5"/>
    <w:rsid w:val="005C72CD"/>
    <w:rsid w:val="005D113D"/>
    <w:rsid w:val="005D13C5"/>
    <w:rsid w:val="005D35CC"/>
    <w:rsid w:val="005D3C96"/>
    <w:rsid w:val="005D56A6"/>
    <w:rsid w:val="005D5BF8"/>
    <w:rsid w:val="005D6150"/>
    <w:rsid w:val="005D67A5"/>
    <w:rsid w:val="005D6A3C"/>
    <w:rsid w:val="005D7BDB"/>
    <w:rsid w:val="005E1B3E"/>
    <w:rsid w:val="005E5B30"/>
    <w:rsid w:val="005E6819"/>
    <w:rsid w:val="005E6D9A"/>
    <w:rsid w:val="005E7693"/>
    <w:rsid w:val="005F1D9B"/>
    <w:rsid w:val="005F2E23"/>
    <w:rsid w:val="005F39E8"/>
    <w:rsid w:val="005F52BD"/>
    <w:rsid w:val="005F568C"/>
    <w:rsid w:val="005F5E18"/>
    <w:rsid w:val="005F66FF"/>
    <w:rsid w:val="005F69CD"/>
    <w:rsid w:val="0060041E"/>
    <w:rsid w:val="00601AA5"/>
    <w:rsid w:val="00601B1F"/>
    <w:rsid w:val="00602A89"/>
    <w:rsid w:val="00602BF1"/>
    <w:rsid w:val="00604113"/>
    <w:rsid w:val="00605D3C"/>
    <w:rsid w:val="00607539"/>
    <w:rsid w:val="00607EE4"/>
    <w:rsid w:val="00610B9D"/>
    <w:rsid w:val="00611B66"/>
    <w:rsid w:val="00611FFE"/>
    <w:rsid w:val="00612007"/>
    <w:rsid w:val="0061222A"/>
    <w:rsid w:val="006127F1"/>
    <w:rsid w:val="00612B24"/>
    <w:rsid w:val="0061303F"/>
    <w:rsid w:val="00613DC0"/>
    <w:rsid w:val="00613DC1"/>
    <w:rsid w:val="006148A1"/>
    <w:rsid w:val="00615A1F"/>
    <w:rsid w:val="006165C4"/>
    <w:rsid w:val="00620F60"/>
    <w:rsid w:val="00621D51"/>
    <w:rsid w:val="00621D76"/>
    <w:rsid w:val="00623604"/>
    <w:rsid w:val="00624151"/>
    <w:rsid w:val="00624F11"/>
    <w:rsid w:val="00625318"/>
    <w:rsid w:val="006253C8"/>
    <w:rsid w:val="00627024"/>
    <w:rsid w:val="006275AC"/>
    <w:rsid w:val="006304A2"/>
    <w:rsid w:val="006329A3"/>
    <w:rsid w:val="00633A90"/>
    <w:rsid w:val="00635BBF"/>
    <w:rsid w:val="00635C75"/>
    <w:rsid w:val="00636615"/>
    <w:rsid w:val="00637B59"/>
    <w:rsid w:val="00637B6A"/>
    <w:rsid w:val="00637DEF"/>
    <w:rsid w:val="0064009B"/>
    <w:rsid w:val="00642095"/>
    <w:rsid w:val="006426AA"/>
    <w:rsid w:val="006426C8"/>
    <w:rsid w:val="00642D6D"/>
    <w:rsid w:val="00643245"/>
    <w:rsid w:val="0064373C"/>
    <w:rsid w:val="00643F22"/>
    <w:rsid w:val="0064454F"/>
    <w:rsid w:val="006446F8"/>
    <w:rsid w:val="0064474E"/>
    <w:rsid w:val="0064707E"/>
    <w:rsid w:val="00653E51"/>
    <w:rsid w:val="006558B2"/>
    <w:rsid w:val="00656ACB"/>
    <w:rsid w:val="00656FD9"/>
    <w:rsid w:val="006572D8"/>
    <w:rsid w:val="006608D0"/>
    <w:rsid w:val="00661510"/>
    <w:rsid w:val="006625EB"/>
    <w:rsid w:val="00662C44"/>
    <w:rsid w:val="006638C8"/>
    <w:rsid w:val="00664A35"/>
    <w:rsid w:val="00666552"/>
    <w:rsid w:val="0067131A"/>
    <w:rsid w:val="00672619"/>
    <w:rsid w:val="00672B8D"/>
    <w:rsid w:val="006732C1"/>
    <w:rsid w:val="00673910"/>
    <w:rsid w:val="00674395"/>
    <w:rsid w:val="006753CB"/>
    <w:rsid w:val="006776AB"/>
    <w:rsid w:val="006801E9"/>
    <w:rsid w:val="00680B53"/>
    <w:rsid w:val="00681132"/>
    <w:rsid w:val="00681584"/>
    <w:rsid w:val="00681E4A"/>
    <w:rsid w:val="006820EF"/>
    <w:rsid w:val="00682328"/>
    <w:rsid w:val="0068494B"/>
    <w:rsid w:val="006850B1"/>
    <w:rsid w:val="006868B1"/>
    <w:rsid w:val="00686908"/>
    <w:rsid w:val="00690441"/>
    <w:rsid w:val="00691A06"/>
    <w:rsid w:val="006928B0"/>
    <w:rsid w:val="00692D7E"/>
    <w:rsid w:val="00693165"/>
    <w:rsid w:val="00693299"/>
    <w:rsid w:val="006933B8"/>
    <w:rsid w:val="006934FB"/>
    <w:rsid w:val="00696525"/>
    <w:rsid w:val="00696EE4"/>
    <w:rsid w:val="006A0BD1"/>
    <w:rsid w:val="006A18D4"/>
    <w:rsid w:val="006A1AC7"/>
    <w:rsid w:val="006A28DB"/>
    <w:rsid w:val="006A2F5D"/>
    <w:rsid w:val="006A4540"/>
    <w:rsid w:val="006A4E26"/>
    <w:rsid w:val="006A637E"/>
    <w:rsid w:val="006A710E"/>
    <w:rsid w:val="006B0107"/>
    <w:rsid w:val="006B2F5D"/>
    <w:rsid w:val="006B3060"/>
    <w:rsid w:val="006B3C97"/>
    <w:rsid w:val="006B3D7B"/>
    <w:rsid w:val="006B4B77"/>
    <w:rsid w:val="006B501B"/>
    <w:rsid w:val="006B598B"/>
    <w:rsid w:val="006B5CB0"/>
    <w:rsid w:val="006B5DE7"/>
    <w:rsid w:val="006B64C9"/>
    <w:rsid w:val="006B7AC6"/>
    <w:rsid w:val="006C049A"/>
    <w:rsid w:val="006C0F1D"/>
    <w:rsid w:val="006C13CC"/>
    <w:rsid w:val="006C1EA6"/>
    <w:rsid w:val="006C1FA1"/>
    <w:rsid w:val="006C2561"/>
    <w:rsid w:val="006C3EDB"/>
    <w:rsid w:val="006C3FA1"/>
    <w:rsid w:val="006C515F"/>
    <w:rsid w:val="006D3A44"/>
    <w:rsid w:val="006D4B60"/>
    <w:rsid w:val="006D4E2C"/>
    <w:rsid w:val="006D5370"/>
    <w:rsid w:val="006D7213"/>
    <w:rsid w:val="006D7343"/>
    <w:rsid w:val="006D791E"/>
    <w:rsid w:val="006E1216"/>
    <w:rsid w:val="006E1C21"/>
    <w:rsid w:val="006E2DF6"/>
    <w:rsid w:val="006E34C2"/>
    <w:rsid w:val="006E367B"/>
    <w:rsid w:val="006E36BF"/>
    <w:rsid w:val="006E3708"/>
    <w:rsid w:val="006E3B1B"/>
    <w:rsid w:val="006E4B0F"/>
    <w:rsid w:val="006E66C2"/>
    <w:rsid w:val="006E7793"/>
    <w:rsid w:val="006F0E93"/>
    <w:rsid w:val="006F2478"/>
    <w:rsid w:val="006F2559"/>
    <w:rsid w:val="006F4D2B"/>
    <w:rsid w:val="006F517A"/>
    <w:rsid w:val="006F5B09"/>
    <w:rsid w:val="006F5D1F"/>
    <w:rsid w:val="00700584"/>
    <w:rsid w:val="00700DC5"/>
    <w:rsid w:val="00701F23"/>
    <w:rsid w:val="0070202B"/>
    <w:rsid w:val="00702191"/>
    <w:rsid w:val="00702B2B"/>
    <w:rsid w:val="00703A3F"/>
    <w:rsid w:val="00703A79"/>
    <w:rsid w:val="00704909"/>
    <w:rsid w:val="007052A2"/>
    <w:rsid w:val="00710DE5"/>
    <w:rsid w:val="007110F7"/>
    <w:rsid w:val="007114F8"/>
    <w:rsid w:val="00714FBB"/>
    <w:rsid w:val="007153AE"/>
    <w:rsid w:val="00717B6F"/>
    <w:rsid w:val="00717CFF"/>
    <w:rsid w:val="00720508"/>
    <w:rsid w:val="0072087A"/>
    <w:rsid w:val="007219E8"/>
    <w:rsid w:val="00722896"/>
    <w:rsid w:val="00722E6E"/>
    <w:rsid w:val="00724810"/>
    <w:rsid w:val="00725DD9"/>
    <w:rsid w:val="00726262"/>
    <w:rsid w:val="0072633B"/>
    <w:rsid w:val="00730186"/>
    <w:rsid w:val="0073210B"/>
    <w:rsid w:val="007335D2"/>
    <w:rsid w:val="00734352"/>
    <w:rsid w:val="007372DF"/>
    <w:rsid w:val="0074271B"/>
    <w:rsid w:val="00742D50"/>
    <w:rsid w:val="00743EDF"/>
    <w:rsid w:val="00745044"/>
    <w:rsid w:val="007450C9"/>
    <w:rsid w:val="007456AB"/>
    <w:rsid w:val="00746348"/>
    <w:rsid w:val="00746819"/>
    <w:rsid w:val="007472A6"/>
    <w:rsid w:val="00747C77"/>
    <w:rsid w:val="00747F5E"/>
    <w:rsid w:val="0075084A"/>
    <w:rsid w:val="007547A9"/>
    <w:rsid w:val="007613C0"/>
    <w:rsid w:val="0076208A"/>
    <w:rsid w:val="007628E5"/>
    <w:rsid w:val="00762EF0"/>
    <w:rsid w:val="00763D9A"/>
    <w:rsid w:val="0076584F"/>
    <w:rsid w:val="00765B75"/>
    <w:rsid w:val="00766A69"/>
    <w:rsid w:val="007707BC"/>
    <w:rsid w:val="007710D5"/>
    <w:rsid w:val="00771D15"/>
    <w:rsid w:val="00771EE4"/>
    <w:rsid w:val="0077281F"/>
    <w:rsid w:val="00774211"/>
    <w:rsid w:val="0077475E"/>
    <w:rsid w:val="00774BB7"/>
    <w:rsid w:val="00775279"/>
    <w:rsid w:val="00775DF1"/>
    <w:rsid w:val="007763F1"/>
    <w:rsid w:val="00776719"/>
    <w:rsid w:val="00777644"/>
    <w:rsid w:val="00780521"/>
    <w:rsid w:val="007837D5"/>
    <w:rsid w:val="00783CDA"/>
    <w:rsid w:val="00784086"/>
    <w:rsid w:val="007861FC"/>
    <w:rsid w:val="0078662D"/>
    <w:rsid w:val="00786650"/>
    <w:rsid w:val="00786DCE"/>
    <w:rsid w:val="007902E9"/>
    <w:rsid w:val="0079102B"/>
    <w:rsid w:val="00791269"/>
    <w:rsid w:val="007915DF"/>
    <w:rsid w:val="00792434"/>
    <w:rsid w:val="0079331C"/>
    <w:rsid w:val="00795130"/>
    <w:rsid w:val="00795F47"/>
    <w:rsid w:val="007A190F"/>
    <w:rsid w:val="007A208A"/>
    <w:rsid w:val="007A2283"/>
    <w:rsid w:val="007A263F"/>
    <w:rsid w:val="007A2CD6"/>
    <w:rsid w:val="007A452F"/>
    <w:rsid w:val="007A45E3"/>
    <w:rsid w:val="007A4E4F"/>
    <w:rsid w:val="007A4ED4"/>
    <w:rsid w:val="007A502A"/>
    <w:rsid w:val="007A6781"/>
    <w:rsid w:val="007A6C76"/>
    <w:rsid w:val="007A719A"/>
    <w:rsid w:val="007B18EA"/>
    <w:rsid w:val="007B1DDD"/>
    <w:rsid w:val="007B3B2E"/>
    <w:rsid w:val="007B44E6"/>
    <w:rsid w:val="007B4CEF"/>
    <w:rsid w:val="007B54F6"/>
    <w:rsid w:val="007B639B"/>
    <w:rsid w:val="007B66E1"/>
    <w:rsid w:val="007B7450"/>
    <w:rsid w:val="007C0470"/>
    <w:rsid w:val="007C195E"/>
    <w:rsid w:val="007C2BC4"/>
    <w:rsid w:val="007C44F8"/>
    <w:rsid w:val="007C4FA4"/>
    <w:rsid w:val="007C5565"/>
    <w:rsid w:val="007C5D98"/>
    <w:rsid w:val="007C5E40"/>
    <w:rsid w:val="007C7DC9"/>
    <w:rsid w:val="007D0260"/>
    <w:rsid w:val="007D07C2"/>
    <w:rsid w:val="007D0CCD"/>
    <w:rsid w:val="007D3070"/>
    <w:rsid w:val="007D35F5"/>
    <w:rsid w:val="007D59AF"/>
    <w:rsid w:val="007D76D9"/>
    <w:rsid w:val="007E1B7E"/>
    <w:rsid w:val="007E2923"/>
    <w:rsid w:val="007E2DA0"/>
    <w:rsid w:val="007E31C1"/>
    <w:rsid w:val="007E3877"/>
    <w:rsid w:val="007E3B4D"/>
    <w:rsid w:val="007E3EBE"/>
    <w:rsid w:val="007E4103"/>
    <w:rsid w:val="007E5BFB"/>
    <w:rsid w:val="007E72A4"/>
    <w:rsid w:val="007E79DD"/>
    <w:rsid w:val="007F1048"/>
    <w:rsid w:val="007F1127"/>
    <w:rsid w:val="007F22CD"/>
    <w:rsid w:val="007F2F3B"/>
    <w:rsid w:val="007F32BC"/>
    <w:rsid w:val="007F59BD"/>
    <w:rsid w:val="00800ACB"/>
    <w:rsid w:val="0080411B"/>
    <w:rsid w:val="008042A1"/>
    <w:rsid w:val="00804971"/>
    <w:rsid w:val="0080573D"/>
    <w:rsid w:val="00811AF4"/>
    <w:rsid w:val="00812972"/>
    <w:rsid w:val="00813A2A"/>
    <w:rsid w:val="00813D49"/>
    <w:rsid w:val="008146C4"/>
    <w:rsid w:val="00815380"/>
    <w:rsid w:val="008157D8"/>
    <w:rsid w:val="00817302"/>
    <w:rsid w:val="008178C6"/>
    <w:rsid w:val="0082062A"/>
    <w:rsid w:val="00820EBC"/>
    <w:rsid w:val="008215AF"/>
    <w:rsid w:val="00822B2E"/>
    <w:rsid w:val="00822CDF"/>
    <w:rsid w:val="00823CAF"/>
    <w:rsid w:val="00823E05"/>
    <w:rsid w:val="0082579E"/>
    <w:rsid w:val="00826420"/>
    <w:rsid w:val="00827A51"/>
    <w:rsid w:val="00830D62"/>
    <w:rsid w:val="0083114C"/>
    <w:rsid w:val="00831606"/>
    <w:rsid w:val="008361E8"/>
    <w:rsid w:val="00836C76"/>
    <w:rsid w:val="00840EB0"/>
    <w:rsid w:val="00840F80"/>
    <w:rsid w:val="008411E2"/>
    <w:rsid w:val="00842E0B"/>
    <w:rsid w:val="008442AF"/>
    <w:rsid w:val="008455CA"/>
    <w:rsid w:val="00845A6F"/>
    <w:rsid w:val="00846452"/>
    <w:rsid w:val="008505AA"/>
    <w:rsid w:val="0085164B"/>
    <w:rsid w:val="00852239"/>
    <w:rsid w:val="00852D01"/>
    <w:rsid w:val="00852E75"/>
    <w:rsid w:val="00853AD7"/>
    <w:rsid w:val="00854090"/>
    <w:rsid w:val="00854408"/>
    <w:rsid w:val="0085477F"/>
    <w:rsid w:val="00854917"/>
    <w:rsid w:val="00854992"/>
    <w:rsid w:val="00856218"/>
    <w:rsid w:val="00856323"/>
    <w:rsid w:val="0085667A"/>
    <w:rsid w:val="008566A8"/>
    <w:rsid w:val="008572F2"/>
    <w:rsid w:val="008576DE"/>
    <w:rsid w:val="00857861"/>
    <w:rsid w:val="00860D9F"/>
    <w:rsid w:val="00861406"/>
    <w:rsid w:val="00861765"/>
    <w:rsid w:val="00862FF6"/>
    <w:rsid w:val="0086436B"/>
    <w:rsid w:val="008656F7"/>
    <w:rsid w:val="00866D35"/>
    <w:rsid w:val="00866EC5"/>
    <w:rsid w:val="00867769"/>
    <w:rsid w:val="008719C0"/>
    <w:rsid w:val="0087252C"/>
    <w:rsid w:val="00872BED"/>
    <w:rsid w:val="00874707"/>
    <w:rsid w:val="00875F32"/>
    <w:rsid w:val="0087642D"/>
    <w:rsid w:val="0087662D"/>
    <w:rsid w:val="00877B05"/>
    <w:rsid w:val="0088034F"/>
    <w:rsid w:val="00880AE9"/>
    <w:rsid w:val="00881EC4"/>
    <w:rsid w:val="0088253D"/>
    <w:rsid w:val="00882A9A"/>
    <w:rsid w:val="00884A1A"/>
    <w:rsid w:val="00885DAF"/>
    <w:rsid w:val="008864B7"/>
    <w:rsid w:val="008868F6"/>
    <w:rsid w:val="00886FCF"/>
    <w:rsid w:val="0089080C"/>
    <w:rsid w:val="008912AD"/>
    <w:rsid w:val="00891B76"/>
    <w:rsid w:val="008934FD"/>
    <w:rsid w:val="00895350"/>
    <w:rsid w:val="00895ACF"/>
    <w:rsid w:val="00896959"/>
    <w:rsid w:val="00897445"/>
    <w:rsid w:val="008974E9"/>
    <w:rsid w:val="008A14CA"/>
    <w:rsid w:val="008A2A86"/>
    <w:rsid w:val="008A3101"/>
    <w:rsid w:val="008A4203"/>
    <w:rsid w:val="008A5E48"/>
    <w:rsid w:val="008A77F1"/>
    <w:rsid w:val="008B15DE"/>
    <w:rsid w:val="008B17BF"/>
    <w:rsid w:val="008B4DAD"/>
    <w:rsid w:val="008B514F"/>
    <w:rsid w:val="008B52FB"/>
    <w:rsid w:val="008B533E"/>
    <w:rsid w:val="008B5E89"/>
    <w:rsid w:val="008B634D"/>
    <w:rsid w:val="008B717B"/>
    <w:rsid w:val="008C108D"/>
    <w:rsid w:val="008C1136"/>
    <w:rsid w:val="008C3945"/>
    <w:rsid w:val="008C4162"/>
    <w:rsid w:val="008C4EF1"/>
    <w:rsid w:val="008C682A"/>
    <w:rsid w:val="008C6FB6"/>
    <w:rsid w:val="008D19BD"/>
    <w:rsid w:val="008D1F2D"/>
    <w:rsid w:val="008D25EB"/>
    <w:rsid w:val="008E22C3"/>
    <w:rsid w:val="008E31F6"/>
    <w:rsid w:val="008E40BC"/>
    <w:rsid w:val="008E5AED"/>
    <w:rsid w:val="008E6572"/>
    <w:rsid w:val="008E6B25"/>
    <w:rsid w:val="008F0EC7"/>
    <w:rsid w:val="008F1379"/>
    <w:rsid w:val="008F294E"/>
    <w:rsid w:val="008F7632"/>
    <w:rsid w:val="00900B61"/>
    <w:rsid w:val="0090148E"/>
    <w:rsid w:val="00902650"/>
    <w:rsid w:val="0090273A"/>
    <w:rsid w:val="00902CD4"/>
    <w:rsid w:val="009034F9"/>
    <w:rsid w:val="00903515"/>
    <w:rsid w:val="009053EB"/>
    <w:rsid w:val="00905AA0"/>
    <w:rsid w:val="00905ABE"/>
    <w:rsid w:val="00906820"/>
    <w:rsid w:val="00906AD5"/>
    <w:rsid w:val="00906E60"/>
    <w:rsid w:val="0090717E"/>
    <w:rsid w:val="00907E43"/>
    <w:rsid w:val="00910BB2"/>
    <w:rsid w:val="0091239D"/>
    <w:rsid w:val="0091263F"/>
    <w:rsid w:val="00913320"/>
    <w:rsid w:val="00913BAF"/>
    <w:rsid w:val="009144E1"/>
    <w:rsid w:val="00914695"/>
    <w:rsid w:val="00916205"/>
    <w:rsid w:val="00916210"/>
    <w:rsid w:val="0091635B"/>
    <w:rsid w:val="00916792"/>
    <w:rsid w:val="00917AF8"/>
    <w:rsid w:val="00917E18"/>
    <w:rsid w:val="00920338"/>
    <w:rsid w:val="00921400"/>
    <w:rsid w:val="00921AC7"/>
    <w:rsid w:val="009223BF"/>
    <w:rsid w:val="00923352"/>
    <w:rsid w:val="0092509C"/>
    <w:rsid w:val="00925230"/>
    <w:rsid w:val="00925765"/>
    <w:rsid w:val="00925F53"/>
    <w:rsid w:val="00926FED"/>
    <w:rsid w:val="009277E2"/>
    <w:rsid w:val="009302EF"/>
    <w:rsid w:val="00930A4C"/>
    <w:rsid w:val="009313E1"/>
    <w:rsid w:val="00932653"/>
    <w:rsid w:val="00933CEB"/>
    <w:rsid w:val="00934C1C"/>
    <w:rsid w:val="00935C66"/>
    <w:rsid w:val="0093676B"/>
    <w:rsid w:val="009425FA"/>
    <w:rsid w:val="009436B1"/>
    <w:rsid w:val="0094378E"/>
    <w:rsid w:val="00944026"/>
    <w:rsid w:val="00944A42"/>
    <w:rsid w:val="0094604A"/>
    <w:rsid w:val="009474B6"/>
    <w:rsid w:val="009502ED"/>
    <w:rsid w:val="009515C5"/>
    <w:rsid w:val="00952108"/>
    <w:rsid w:val="00952610"/>
    <w:rsid w:val="00952BED"/>
    <w:rsid w:val="009531B5"/>
    <w:rsid w:val="00953BE0"/>
    <w:rsid w:val="0095631E"/>
    <w:rsid w:val="009564F1"/>
    <w:rsid w:val="009570E2"/>
    <w:rsid w:val="00957CA0"/>
    <w:rsid w:val="00960002"/>
    <w:rsid w:val="0096016E"/>
    <w:rsid w:val="0096029A"/>
    <w:rsid w:val="00961266"/>
    <w:rsid w:val="00961342"/>
    <w:rsid w:val="00961AF8"/>
    <w:rsid w:val="009620F2"/>
    <w:rsid w:val="0096295C"/>
    <w:rsid w:val="00963513"/>
    <w:rsid w:val="00965137"/>
    <w:rsid w:val="00967DE5"/>
    <w:rsid w:val="00970C1A"/>
    <w:rsid w:val="0097171B"/>
    <w:rsid w:val="00972174"/>
    <w:rsid w:val="00972EA9"/>
    <w:rsid w:val="009730CD"/>
    <w:rsid w:val="00973574"/>
    <w:rsid w:val="00974933"/>
    <w:rsid w:val="0097612A"/>
    <w:rsid w:val="00977235"/>
    <w:rsid w:val="00977D6D"/>
    <w:rsid w:val="00981592"/>
    <w:rsid w:val="00983D0B"/>
    <w:rsid w:val="00985B85"/>
    <w:rsid w:val="00986835"/>
    <w:rsid w:val="00987468"/>
    <w:rsid w:val="00987F43"/>
    <w:rsid w:val="00990AE3"/>
    <w:rsid w:val="00991276"/>
    <w:rsid w:val="009912FB"/>
    <w:rsid w:val="00991E72"/>
    <w:rsid w:val="00995376"/>
    <w:rsid w:val="0099548E"/>
    <w:rsid w:val="009966F7"/>
    <w:rsid w:val="009975B8"/>
    <w:rsid w:val="00997893"/>
    <w:rsid w:val="009979A5"/>
    <w:rsid w:val="00997C42"/>
    <w:rsid w:val="009A1300"/>
    <w:rsid w:val="009A35A7"/>
    <w:rsid w:val="009A4C7C"/>
    <w:rsid w:val="009A55C9"/>
    <w:rsid w:val="009A6585"/>
    <w:rsid w:val="009A67D1"/>
    <w:rsid w:val="009A6D1B"/>
    <w:rsid w:val="009A788D"/>
    <w:rsid w:val="009B1ECB"/>
    <w:rsid w:val="009B419B"/>
    <w:rsid w:val="009B4675"/>
    <w:rsid w:val="009B46BC"/>
    <w:rsid w:val="009B4A6E"/>
    <w:rsid w:val="009B5196"/>
    <w:rsid w:val="009B5200"/>
    <w:rsid w:val="009B5A5D"/>
    <w:rsid w:val="009C266A"/>
    <w:rsid w:val="009C5FF5"/>
    <w:rsid w:val="009C6C9B"/>
    <w:rsid w:val="009C79DE"/>
    <w:rsid w:val="009D0195"/>
    <w:rsid w:val="009D13DD"/>
    <w:rsid w:val="009D2193"/>
    <w:rsid w:val="009D35E4"/>
    <w:rsid w:val="009D3D1A"/>
    <w:rsid w:val="009D401F"/>
    <w:rsid w:val="009D40A5"/>
    <w:rsid w:val="009D4B94"/>
    <w:rsid w:val="009D5971"/>
    <w:rsid w:val="009E0978"/>
    <w:rsid w:val="009E3656"/>
    <w:rsid w:val="009E3B62"/>
    <w:rsid w:val="009E6282"/>
    <w:rsid w:val="009E729D"/>
    <w:rsid w:val="009E7756"/>
    <w:rsid w:val="009E7F2A"/>
    <w:rsid w:val="009F04C3"/>
    <w:rsid w:val="009F04C6"/>
    <w:rsid w:val="009F0686"/>
    <w:rsid w:val="009F159C"/>
    <w:rsid w:val="009F4517"/>
    <w:rsid w:val="009F577C"/>
    <w:rsid w:val="009F5D2D"/>
    <w:rsid w:val="009F6580"/>
    <w:rsid w:val="009F70C2"/>
    <w:rsid w:val="009F7892"/>
    <w:rsid w:val="00A008B0"/>
    <w:rsid w:val="00A00909"/>
    <w:rsid w:val="00A02828"/>
    <w:rsid w:val="00A02939"/>
    <w:rsid w:val="00A02C30"/>
    <w:rsid w:val="00A0301A"/>
    <w:rsid w:val="00A03B0A"/>
    <w:rsid w:val="00A069A7"/>
    <w:rsid w:val="00A0757E"/>
    <w:rsid w:val="00A07D19"/>
    <w:rsid w:val="00A11318"/>
    <w:rsid w:val="00A11DC2"/>
    <w:rsid w:val="00A13046"/>
    <w:rsid w:val="00A13321"/>
    <w:rsid w:val="00A16A32"/>
    <w:rsid w:val="00A17010"/>
    <w:rsid w:val="00A1713E"/>
    <w:rsid w:val="00A175F3"/>
    <w:rsid w:val="00A17650"/>
    <w:rsid w:val="00A203F4"/>
    <w:rsid w:val="00A2122C"/>
    <w:rsid w:val="00A215AF"/>
    <w:rsid w:val="00A2261E"/>
    <w:rsid w:val="00A23884"/>
    <w:rsid w:val="00A241F1"/>
    <w:rsid w:val="00A2537B"/>
    <w:rsid w:val="00A2594D"/>
    <w:rsid w:val="00A25B48"/>
    <w:rsid w:val="00A30C83"/>
    <w:rsid w:val="00A315AF"/>
    <w:rsid w:val="00A32BE7"/>
    <w:rsid w:val="00A344B1"/>
    <w:rsid w:val="00A36942"/>
    <w:rsid w:val="00A3706F"/>
    <w:rsid w:val="00A372AA"/>
    <w:rsid w:val="00A40B04"/>
    <w:rsid w:val="00A4390D"/>
    <w:rsid w:val="00A44F59"/>
    <w:rsid w:val="00A45CED"/>
    <w:rsid w:val="00A46283"/>
    <w:rsid w:val="00A46EC4"/>
    <w:rsid w:val="00A47527"/>
    <w:rsid w:val="00A47ABE"/>
    <w:rsid w:val="00A47D5E"/>
    <w:rsid w:val="00A50097"/>
    <w:rsid w:val="00A50C18"/>
    <w:rsid w:val="00A52C8A"/>
    <w:rsid w:val="00A551D2"/>
    <w:rsid w:val="00A5661E"/>
    <w:rsid w:val="00A57E51"/>
    <w:rsid w:val="00A60602"/>
    <w:rsid w:val="00A60C0E"/>
    <w:rsid w:val="00A6176C"/>
    <w:rsid w:val="00A62245"/>
    <w:rsid w:val="00A64268"/>
    <w:rsid w:val="00A642BA"/>
    <w:rsid w:val="00A652E8"/>
    <w:rsid w:val="00A66985"/>
    <w:rsid w:val="00A66B20"/>
    <w:rsid w:val="00A677A9"/>
    <w:rsid w:val="00A7136F"/>
    <w:rsid w:val="00A746FB"/>
    <w:rsid w:val="00A74DDD"/>
    <w:rsid w:val="00A75512"/>
    <w:rsid w:val="00A76183"/>
    <w:rsid w:val="00A76459"/>
    <w:rsid w:val="00A76BAC"/>
    <w:rsid w:val="00A77067"/>
    <w:rsid w:val="00A80664"/>
    <w:rsid w:val="00A81987"/>
    <w:rsid w:val="00A820B4"/>
    <w:rsid w:val="00A824FF"/>
    <w:rsid w:val="00A826AB"/>
    <w:rsid w:val="00A831EE"/>
    <w:rsid w:val="00A84691"/>
    <w:rsid w:val="00A8478E"/>
    <w:rsid w:val="00A84E11"/>
    <w:rsid w:val="00A85D58"/>
    <w:rsid w:val="00A901D1"/>
    <w:rsid w:val="00A903C9"/>
    <w:rsid w:val="00A903E4"/>
    <w:rsid w:val="00A9078C"/>
    <w:rsid w:val="00A91A7F"/>
    <w:rsid w:val="00A937E6"/>
    <w:rsid w:val="00A93D35"/>
    <w:rsid w:val="00A94868"/>
    <w:rsid w:val="00A94AD6"/>
    <w:rsid w:val="00A94C67"/>
    <w:rsid w:val="00A956E2"/>
    <w:rsid w:val="00A96FBE"/>
    <w:rsid w:val="00AA0B0C"/>
    <w:rsid w:val="00AA149B"/>
    <w:rsid w:val="00AA1523"/>
    <w:rsid w:val="00AA1A2D"/>
    <w:rsid w:val="00AA1E92"/>
    <w:rsid w:val="00AA20CE"/>
    <w:rsid w:val="00AA24BF"/>
    <w:rsid w:val="00AA27A9"/>
    <w:rsid w:val="00AA3911"/>
    <w:rsid w:val="00AA50BE"/>
    <w:rsid w:val="00AA609F"/>
    <w:rsid w:val="00AA7285"/>
    <w:rsid w:val="00AA77F7"/>
    <w:rsid w:val="00AB013F"/>
    <w:rsid w:val="00AB0B1D"/>
    <w:rsid w:val="00AB0FF5"/>
    <w:rsid w:val="00AB12A4"/>
    <w:rsid w:val="00AB4560"/>
    <w:rsid w:val="00AB4C1E"/>
    <w:rsid w:val="00AB4DAD"/>
    <w:rsid w:val="00AB5BA4"/>
    <w:rsid w:val="00AB7AB3"/>
    <w:rsid w:val="00AB7B2E"/>
    <w:rsid w:val="00AC0194"/>
    <w:rsid w:val="00AC0618"/>
    <w:rsid w:val="00AC07E8"/>
    <w:rsid w:val="00AC1027"/>
    <w:rsid w:val="00AC10AB"/>
    <w:rsid w:val="00AC3798"/>
    <w:rsid w:val="00AC3DCD"/>
    <w:rsid w:val="00AC41F4"/>
    <w:rsid w:val="00AC43FD"/>
    <w:rsid w:val="00AC46AD"/>
    <w:rsid w:val="00AD02D5"/>
    <w:rsid w:val="00AD09EC"/>
    <w:rsid w:val="00AD1115"/>
    <w:rsid w:val="00AD1966"/>
    <w:rsid w:val="00AD542E"/>
    <w:rsid w:val="00AD5E58"/>
    <w:rsid w:val="00AD602D"/>
    <w:rsid w:val="00AD65E6"/>
    <w:rsid w:val="00AD6792"/>
    <w:rsid w:val="00AD77A8"/>
    <w:rsid w:val="00AD7A39"/>
    <w:rsid w:val="00AE152F"/>
    <w:rsid w:val="00AE1747"/>
    <w:rsid w:val="00AE1E68"/>
    <w:rsid w:val="00AE1F6C"/>
    <w:rsid w:val="00AE3569"/>
    <w:rsid w:val="00AE479D"/>
    <w:rsid w:val="00AE4E8D"/>
    <w:rsid w:val="00AE645A"/>
    <w:rsid w:val="00AE647F"/>
    <w:rsid w:val="00AE682E"/>
    <w:rsid w:val="00AE6E37"/>
    <w:rsid w:val="00AF15AD"/>
    <w:rsid w:val="00AF18E0"/>
    <w:rsid w:val="00AF4507"/>
    <w:rsid w:val="00AF5A95"/>
    <w:rsid w:val="00AF6589"/>
    <w:rsid w:val="00AF71DC"/>
    <w:rsid w:val="00AF786D"/>
    <w:rsid w:val="00AF7D39"/>
    <w:rsid w:val="00B03CF3"/>
    <w:rsid w:val="00B03D3B"/>
    <w:rsid w:val="00B04392"/>
    <w:rsid w:val="00B05A56"/>
    <w:rsid w:val="00B05EFD"/>
    <w:rsid w:val="00B06222"/>
    <w:rsid w:val="00B075AD"/>
    <w:rsid w:val="00B07D5E"/>
    <w:rsid w:val="00B1067B"/>
    <w:rsid w:val="00B10712"/>
    <w:rsid w:val="00B10F4C"/>
    <w:rsid w:val="00B11335"/>
    <w:rsid w:val="00B12329"/>
    <w:rsid w:val="00B12AB5"/>
    <w:rsid w:val="00B1331D"/>
    <w:rsid w:val="00B149EA"/>
    <w:rsid w:val="00B166A5"/>
    <w:rsid w:val="00B17D2B"/>
    <w:rsid w:val="00B2027F"/>
    <w:rsid w:val="00B20367"/>
    <w:rsid w:val="00B218FE"/>
    <w:rsid w:val="00B24023"/>
    <w:rsid w:val="00B2474A"/>
    <w:rsid w:val="00B2557A"/>
    <w:rsid w:val="00B25600"/>
    <w:rsid w:val="00B2577A"/>
    <w:rsid w:val="00B26A76"/>
    <w:rsid w:val="00B26C91"/>
    <w:rsid w:val="00B30D99"/>
    <w:rsid w:val="00B30DDE"/>
    <w:rsid w:val="00B32131"/>
    <w:rsid w:val="00B32BAC"/>
    <w:rsid w:val="00B32F47"/>
    <w:rsid w:val="00B34478"/>
    <w:rsid w:val="00B3514B"/>
    <w:rsid w:val="00B3550A"/>
    <w:rsid w:val="00B35C3F"/>
    <w:rsid w:val="00B377A3"/>
    <w:rsid w:val="00B37D9C"/>
    <w:rsid w:val="00B41E52"/>
    <w:rsid w:val="00B41FEC"/>
    <w:rsid w:val="00B422C8"/>
    <w:rsid w:val="00B436A6"/>
    <w:rsid w:val="00B457FD"/>
    <w:rsid w:val="00B45908"/>
    <w:rsid w:val="00B45A5C"/>
    <w:rsid w:val="00B45E40"/>
    <w:rsid w:val="00B46E1C"/>
    <w:rsid w:val="00B5104E"/>
    <w:rsid w:val="00B515D9"/>
    <w:rsid w:val="00B545DC"/>
    <w:rsid w:val="00B54785"/>
    <w:rsid w:val="00B54ED5"/>
    <w:rsid w:val="00B55187"/>
    <w:rsid w:val="00B56C7F"/>
    <w:rsid w:val="00B578B7"/>
    <w:rsid w:val="00B60429"/>
    <w:rsid w:val="00B60592"/>
    <w:rsid w:val="00B6100E"/>
    <w:rsid w:val="00B61EE9"/>
    <w:rsid w:val="00B63732"/>
    <w:rsid w:val="00B65E6D"/>
    <w:rsid w:val="00B66263"/>
    <w:rsid w:val="00B73AD1"/>
    <w:rsid w:val="00B73FBE"/>
    <w:rsid w:val="00B74CFF"/>
    <w:rsid w:val="00B7643D"/>
    <w:rsid w:val="00B76BE3"/>
    <w:rsid w:val="00B76C86"/>
    <w:rsid w:val="00B77371"/>
    <w:rsid w:val="00B81B90"/>
    <w:rsid w:val="00B82EAA"/>
    <w:rsid w:val="00B83977"/>
    <w:rsid w:val="00B854E2"/>
    <w:rsid w:val="00B85962"/>
    <w:rsid w:val="00B8772E"/>
    <w:rsid w:val="00B87898"/>
    <w:rsid w:val="00B90875"/>
    <w:rsid w:val="00B90B35"/>
    <w:rsid w:val="00B9174C"/>
    <w:rsid w:val="00B91B99"/>
    <w:rsid w:val="00B92A6B"/>
    <w:rsid w:val="00B958E5"/>
    <w:rsid w:val="00B95D66"/>
    <w:rsid w:val="00B95FF7"/>
    <w:rsid w:val="00B962B4"/>
    <w:rsid w:val="00B964EB"/>
    <w:rsid w:val="00B96D02"/>
    <w:rsid w:val="00B9718B"/>
    <w:rsid w:val="00B9741D"/>
    <w:rsid w:val="00BA0025"/>
    <w:rsid w:val="00BA0AFE"/>
    <w:rsid w:val="00BA0E8E"/>
    <w:rsid w:val="00BA16C5"/>
    <w:rsid w:val="00BA3F7C"/>
    <w:rsid w:val="00BA46D7"/>
    <w:rsid w:val="00BA483C"/>
    <w:rsid w:val="00BA4EA3"/>
    <w:rsid w:val="00BA6F6B"/>
    <w:rsid w:val="00BA728E"/>
    <w:rsid w:val="00BA7374"/>
    <w:rsid w:val="00BA7A0D"/>
    <w:rsid w:val="00BB073C"/>
    <w:rsid w:val="00BB0B1B"/>
    <w:rsid w:val="00BB0BFC"/>
    <w:rsid w:val="00BB187C"/>
    <w:rsid w:val="00BB19AC"/>
    <w:rsid w:val="00BB1C16"/>
    <w:rsid w:val="00BB32F2"/>
    <w:rsid w:val="00BB6DC2"/>
    <w:rsid w:val="00BC0380"/>
    <w:rsid w:val="00BC0580"/>
    <w:rsid w:val="00BC3DFB"/>
    <w:rsid w:val="00BC5669"/>
    <w:rsid w:val="00BC5888"/>
    <w:rsid w:val="00BC7617"/>
    <w:rsid w:val="00BC76B7"/>
    <w:rsid w:val="00BD07EB"/>
    <w:rsid w:val="00BD210B"/>
    <w:rsid w:val="00BD3A42"/>
    <w:rsid w:val="00BD4D42"/>
    <w:rsid w:val="00BD69E4"/>
    <w:rsid w:val="00BD70E4"/>
    <w:rsid w:val="00BE04F5"/>
    <w:rsid w:val="00BE1492"/>
    <w:rsid w:val="00BE230E"/>
    <w:rsid w:val="00BE2F20"/>
    <w:rsid w:val="00BE3E3B"/>
    <w:rsid w:val="00BE436A"/>
    <w:rsid w:val="00BE436E"/>
    <w:rsid w:val="00BE4968"/>
    <w:rsid w:val="00BE4E09"/>
    <w:rsid w:val="00BE50DB"/>
    <w:rsid w:val="00BE5283"/>
    <w:rsid w:val="00BE5391"/>
    <w:rsid w:val="00BE6347"/>
    <w:rsid w:val="00BE6543"/>
    <w:rsid w:val="00BE69B8"/>
    <w:rsid w:val="00BE6B28"/>
    <w:rsid w:val="00BE77FD"/>
    <w:rsid w:val="00BF1169"/>
    <w:rsid w:val="00BF2D4B"/>
    <w:rsid w:val="00BF2EBC"/>
    <w:rsid w:val="00BF3F00"/>
    <w:rsid w:val="00BF4AB0"/>
    <w:rsid w:val="00BF4E9E"/>
    <w:rsid w:val="00BF5F63"/>
    <w:rsid w:val="00BF69DD"/>
    <w:rsid w:val="00BF69FB"/>
    <w:rsid w:val="00BF6BE4"/>
    <w:rsid w:val="00C012D8"/>
    <w:rsid w:val="00C037F4"/>
    <w:rsid w:val="00C040B2"/>
    <w:rsid w:val="00C05A21"/>
    <w:rsid w:val="00C06D82"/>
    <w:rsid w:val="00C07263"/>
    <w:rsid w:val="00C1239D"/>
    <w:rsid w:val="00C13FD2"/>
    <w:rsid w:val="00C144A7"/>
    <w:rsid w:val="00C15A43"/>
    <w:rsid w:val="00C1654C"/>
    <w:rsid w:val="00C16A5E"/>
    <w:rsid w:val="00C170D7"/>
    <w:rsid w:val="00C17EE1"/>
    <w:rsid w:val="00C2061D"/>
    <w:rsid w:val="00C22071"/>
    <w:rsid w:val="00C22679"/>
    <w:rsid w:val="00C25EA3"/>
    <w:rsid w:val="00C2602B"/>
    <w:rsid w:val="00C26624"/>
    <w:rsid w:val="00C30539"/>
    <w:rsid w:val="00C30B1D"/>
    <w:rsid w:val="00C32C98"/>
    <w:rsid w:val="00C3304A"/>
    <w:rsid w:val="00C34491"/>
    <w:rsid w:val="00C34A66"/>
    <w:rsid w:val="00C361AC"/>
    <w:rsid w:val="00C432D6"/>
    <w:rsid w:val="00C43468"/>
    <w:rsid w:val="00C438B3"/>
    <w:rsid w:val="00C46AE5"/>
    <w:rsid w:val="00C50372"/>
    <w:rsid w:val="00C5061E"/>
    <w:rsid w:val="00C50910"/>
    <w:rsid w:val="00C5375A"/>
    <w:rsid w:val="00C55791"/>
    <w:rsid w:val="00C57F35"/>
    <w:rsid w:val="00C6047F"/>
    <w:rsid w:val="00C614CB"/>
    <w:rsid w:val="00C640B3"/>
    <w:rsid w:val="00C6484B"/>
    <w:rsid w:val="00C64C0F"/>
    <w:rsid w:val="00C65C4F"/>
    <w:rsid w:val="00C65E8D"/>
    <w:rsid w:val="00C675FA"/>
    <w:rsid w:val="00C676C1"/>
    <w:rsid w:val="00C67BE8"/>
    <w:rsid w:val="00C70679"/>
    <w:rsid w:val="00C70B22"/>
    <w:rsid w:val="00C70CFC"/>
    <w:rsid w:val="00C7353D"/>
    <w:rsid w:val="00C74848"/>
    <w:rsid w:val="00C75033"/>
    <w:rsid w:val="00C815C0"/>
    <w:rsid w:val="00C83040"/>
    <w:rsid w:val="00C84C73"/>
    <w:rsid w:val="00C86CCE"/>
    <w:rsid w:val="00C90920"/>
    <w:rsid w:val="00C90BEE"/>
    <w:rsid w:val="00C91A42"/>
    <w:rsid w:val="00C91D44"/>
    <w:rsid w:val="00C921CE"/>
    <w:rsid w:val="00C92216"/>
    <w:rsid w:val="00C9506B"/>
    <w:rsid w:val="00C95512"/>
    <w:rsid w:val="00C959BE"/>
    <w:rsid w:val="00C96F87"/>
    <w:rsid w:val="00C97C5B"/>
    <w:rsid w:val="00CA0CE2"/>
    <w:rsid w:val="00CA0E7A"/>
    <w:rsid w:val="00CA12F7"/>
    <w:rsid w:val="00CA1924"/>
    <w:rsid w:val="00CA4CEC"/>
    <w:rsid w:val="00CA4E88"/>
    <w:rsid w:val="00CA5B37"/>
    <w:rsid w:val="00CA6145"/>
    <w:rsid w:val="00CA6309"/>
    <w:rsid w:val="00CA6FFB"/>
    <w:rsid w:val="00CB0271"/>
    <w:rsid w:val="00CB1295"/>
    <w:rsid w:val="00CB13F7"/>
    <w:rsid w:val="00CB18D6"/>
    <w:rsid w:val="00CB1CCC"/>
    <w:rsid w:val="00CB44D5"/>
    <w:rsid w:val="00CB4E63"/>
    <w:rsid w:val="00CB5785"/>
    <w:rsid w:val="00CB74EF"/>
    <w:rsid w:val="00CB7E1B"/>
    <w:rsid w:val="00CC1A92"/>
    <w:rsid w:val="00CC344F"/>
    <w:rsid w:val="00CC36ED"/>
    <w:rsid w:val="00CC3850"/>
    <w:rsid w:val="00CC3D7B"/>
    <w:rsid w:val="00CC4E59"/>
    <w:rsid w:val="00CD0F43"/>
    <w:rsid w:val="00CD1E0D"/>
    <w:rsid w:val="00CD3E5F"/>
    <w:rsid w:val="00CD591D"/>
    <w:rsid w:val="00CD5DB1"/>
    <w:rsid w:val="00CE0EA3"/>
    <w:rsid w:val="00CE140C"/>
    <w:rsid w:val="00CE19D9"/>
    <w:rsid w:val="00CE2B9C"/>
    <w:rsid w:val="00CE2F4C"/>
    <w:rsid w:val="00CF2BDE"/>
    <w:rsid w:val="00CF3C50"/>
    <w:rsid w:val="00CF4BD9"/>
    <w:rsid w:val="00CF4EED"/>
    <w:rsid w:val="00CF5CD0"/>
    <w:rsid w:val="00CF68C5"/>
    <w:rsid w:val="00CF6E12"/>
    <w:rsid w:val="00CF7AD9"/>
    <w:rsid w:val="00D01711"/>
    <w:rsid w:val="00D02EE2"/>
    <w:rsid w:val="00D0302A"/>
    <w:rsid w:val="00D03D4B"/>
    <w:rsid w:val="00D048E2"/>
    <w:rsid w:val="00D06897"/>
    <w:rsid w:val="00D06B15"/>
    <w:rsid w:val="00D0782C"/>
    <w:rsid w:val="00D07E78"/>
    <w:rsid w:val="00D10504"/>
    <w:rsid w:val="00D10BA7"/>
    <w:rsid w:val="00D1153A"/>
    <w:rsid w:val="00D1494F"/>
    <w:rsid w:val="00D160FB"/>
    <w:rsid w:val="00D17C16"/>
    <w:rsid w:val="00D20995"/>
    <w:rsid w:val="00D209D0"/>
    <w:rsid w:val="00D20BD3"/>
    <w:rsid w:val="00D21081"/>
    <w:rsid w:val="00D211F1"/>
    <w:rsid w:val="00D23274"/>
    <w:rsid w:val="00D26669"/>
    <w:rsid w:val="00D26E6C"/>
    <w:rsid w:val="00D27261"/>
    <w:rsid w:val="00D275EE"/>
    <w:rsid w:val="00D304D8"/>
    <w:rsid w:val="00D30557"/>
    <w:rsid w:val="00D32AFC"/>
    <w:rsid w:val="00D34425"/>
    <w:rsid w:val="00D3448C"/>
    <w:rsid w:val="00D35043"/>
    <w:rsid w:val="00D35470"/>
    <w:rsid w:val="00D362E0"/>
    <w:rsid w:val="00D367A0"/>
    <w:rsid w:val="00D36FA3"/>
    <w:rsid w:val="00D37E88"/>
    <w:rsid w:val="00D414B0"/>
    <w:rsid w:val="00D440E7"/>
    <w:rsid w:val="00D44C26"/>
    <w:rsid w:val="00D44C2A"/>
    <w:rsid w:val="00D45BEA"/>
    <w:rsid w:val="00D464E3"/>
    <w:rsid w:val="00D4735C"/>
    <w:rsid w:val="00D50A79"/>
    <w:rsid w:val="00D5106F"/>
    <w:rsid w:val="00D51F72"/>
    <w:rsid w:val="00D53B85"/>
    <w:rsid w:val="00D553A5"/>
    <w:rsid w:val="00D56B43"/>
    <w:rsid w:val="00D574B4"/>
    <w:rsid w:val="00D610F4"/>
    <w:rsid w:val="00D6226D"/>
    <w:rsid w:val="00D640C8"/>
    <w:rsid w:val="00D646FF"/>
    <w:rsid w:val="00D64E6A"/>
    <w:rsid w:val="00D65EA3"/>
    <w:rsid w:val="00D65EFD"/>
    <w:rsid w:val="00D6663A"/>
    <w:rsid w:val="00D67B0C"/>
    <w:rsid w:val="00D67FE4"/>
    <w:rsid w:val="00D7238D"/>
    <w:rsid w:val="00D728CC"/>
    <w:rsid w:val="00D72DC4"/>
    <w:rsid w:val="00D73CBB"/>
    <w:rsid w:val="00D75800"/>
    <w:rsid w:val="00D76499"/>
    <w:rsid w:val="00D7743B"/>
    <w:rsid w:val="00D77E16"/>
    <w:rsid w:val="00D8023D"/>
    <w:rsid w:val="00D80DE7"/>
    <w:rsid w:val="00D82C07"/>
    <w:rsid w:val="00D8465C"/>
    <w:rsid w:val="00D8482B"/>
    <w:rsid w:val="00D86257"/>
    <w:rsid w:val="00D863DE"/>
    <w:rsid w:val="00D8715D"/>
    <w:rsid w:val="00D90612"/>
    <w:rsid w:val="00D9090C"/>
    <w:rsid w:val="00D91BBF"/>
    <w:rsid w:val="00D94008"/>
    <w:rsid w:val="00DA0946"/>
    <w:rsid w:val="00DA1B38"/>
    <w:rsid w:val="00DA21CD"/>
    <w:rsid w:val="00DA22D1"/>
    <w:rsid w:val="00DA27D5"/>
    <w:rsid w:val="00DA2A5E"/>
    <w:rsid w:val="00DA7BBD"/>
    <w:rsid w:val="00DB0DB0"/>
    <w:rsid w:val="00DB1381"/>
    <w:rsid w:val="00DB13EA"/>
    <w:rsid w:val="00DB265C"/>
    <w:rsid w:val="00DB396B"/>
    <w:rsid w:val="00DB6092"/>
    <w:rsid w:val="00DB7702"/>
    <w:rsid w:val="00DC3225"/>
    <w:rsid w:val="00DC32EC"/>
    <w:rsid w:val="00DC395A"/>
    <w:rsid w:val="00DC41F8"/>
    <w:rsid w:val="00DC5C0F"/>
    <w:rsid w:val="00DC6F16"/>
    <w:rsid w:val="00DC7D51"/>
    <w:rsid w:val="00DD0B82"/>
    <w:rsid w:val="00DD0ED5"/>
    <w:rsid w:val="00DD203E"/>
    <w:rsid w:val="00DD3A21"/>
    <w:rsid w:val="00DD4CD4"/>
    <w:rsid w:val="00DD5420"/>
    <w:rsid w:val="00DD6549"/>
    <w:rsid w:val="00DE06D7"/>
    <w:rsid w:val="00DE0879"/>
    <w:rsid w:val="00DE16B5"/>
    <w:rsid w:val="00DE24EC"/>
    <w:rsid w:val="00DE2FD3"/>
    <w:rsid w:val="00DE3B44"/>
    <w:rsid w:val="00DE3DDE"/>
    <w:rsid w:val="00DE49AD"/>
    <w:rsid w:val="00DE4F63"/>
    <w:rsid w:val="00DE7C00"/>
    <w:rsid w:val="00DE7E7A"/>
    <w:rsid w:val="00DF0807"/>
    <w:rsid w:val="00DF130C"/>
    <w:rsid w:val="00DF19A6"/>
    <w:rsid w:val="00DF23FA"/>
    <w:rsid w:val="00DF476B"/>
    <w:rsid w:val="00DF4D57"/>
    <w:rsid w:val="00DF52EB"/>
    <w:rsid w:val="00DF6B27"/>
    <w:rsid w:val="00DF6C7A"/>
    <w:rsid w:val="00E00AFA"/>
    <w:rsid w:val="00E013E9"/>
    <w:rsid w:val="00E018BC"/>
    <w:rsid w:val="00E04345"/>
    <w:rsid w:val="00E048DF"/>
    <w:rsid w:val="00E05EF0"/>
    <w:rsid w:val="00E06416"/>
    <w:rsid w:val="00E147C8"/>
    <w:rsid w:val="00E17D3C"/>
    <w:rsid w:val="00E17FBE"/>
    <w:rsid w:val="00E20321"/>
    <w:rsid w:val="00E2095F"/>
    <w:rsid w:val="00E209B9"/>
    <w:rsid w:val="00E22C11"/>
    <w:rsid w:val="00E25809"/>
    <w:rsid w:val="00E26250"/>
    <w:rsid w:val="00E27496"/>
    <w:rsid w:val="00E27C7B"/>
    <w:rsid w:val="00E30A7E"/>
    <w:rsid w:val="00E31210"/>
    <w:rsid w:val="00E325E5"/>
    <w:rsid w:val="00E32CD1"/>
    <w:rsid w:val="00E335D6"/>
    <w:rsid w:val="00E353EC"/>
    <w:rsid w:val="00E35454"/>
    <w:rsid w:val="00E35AA5"/>
    <w:rsid w:val="00E35C75"/>
    <w:rsid w:val="00E36296"/>
    <w:rsid w:val="00E37263"/>
    <w:rsid w:val="00E37CCB"/>
    <w:rsid w:val="00E45088"/>
    <w:rsid w:val="00E45565"/>
    <w:rsid w:val="00E464B0"/>
    <w:rsid w:val="00E466E6"/>
    <w:rsid w:val="00E4707F"/>
    <w:rsid w:val="00E47477"/>
    <w:rsid w:val="00E47894"/>
    <w:rsid w:val="00E50E50"/>
    <w:rsid w:val="00E525E8"/>
    <w:rsid w:val="00E5374E"/>
    <w:rsid w:val="00E53A54"/>
    <w:rsid w:val="00E60014"/>
    <w:rsid w:val="00E602A8"/>
    <w:rsid w:val="00E616C9"/>
    <w:rsid w:val="00E64031"/>
    <w:rsid w:val="00E64240"/>
    <w:rsid w:val="00E658FB"/>
    <w:rsid w:val="00E66007"/>
    <w:rsid w:val="00E66292"/>
    <w:rsid w:val="00E66D15"/>
    <w:rsid w:val="00E67162"/>
    <w:rsid w:val="00E675FC"/>
    <w:rsid w:val="00E70210"/>
    <w:rsid w:val="00E703AD"/>
    <w:rsid w:val="00E71A63"/>
    <w:rsid w:val="00E7328D"/>
    <w:rsid w:val="00E7396C"/>
    <w:rsid w:val="00E75858"/>
    <w:rsid w:val="00E76028"/>
    <w:rsid w:val="00E76112"/>
    <w:rsid w:val="00E7675E"/>
    <w:rsid w:val="00E76EF3"/>
    <w:rsid w:val="00E80724"/>
    <w:rsid w:val="00E80C43"/>
    <w:rsid w:val="00E81751"/>
    <w:rsid w:val="00E8218E"/>
    <w:rsid w:val="00E83510"/>
    <w:rsid w:val="00E83701"/>
    <w:rsid w:val="00E8378B"/>
    <w:rsid w:val="00E85A13"/>
    <w:rsid w:val="00E87F85"/>
    <w:rsid w:val="00E9237E"/>
    <w:rsid w:val="00E95221"/>
    <w:rsid w:val="00E952DD"/>
    <w:rsid w:val="00E96FFE"/>
    <w:rsid w:val="00E97241"/>
    <w:rsid w:val="00EA0B62"/>
    <w:rsid w:val="00EA12BE"/>
    <w:rsid w:val="00EA1A47"/>
    <w:rsid w:val="00EA22DE"/>
    <w:rsid w:val="00EA292F"/>
    <w:rsid w:val="00EA36B3"/>
    <w:rsid w:val="00EA4F35"/>
    <w:rsid w:val="00EA4FB9"/>
    <w:rsid w:val="00EA5F29"/>
    <w:rsid w:val="00EA6144"/>
    <w:rsid w:val="00EA648D"/>
    <w:rsid w:val="00EA685E"/>
    <w:rsid w:val="00EA6A98"/>
    <w:rsid w:val="00EA6E55"/>
    <w:rsid w:val="00EB0569"/>
    <w:rsid w:val="00EB2F09"/>
    <w:rsid w:val="00EB4C0D"/>
    <w:rsid w:val="00EB4C22"/>
    <w:rsid w:val="00EB52DC"/>
    <w:rsid w:val="00EB538F"/>
    <w:rsid w:val="00EB6B83"/>
    <w:rsid w:val="00EC0D76"/>
    <w:rsid w:val="00EC1799"/>
    <w:rsid w:val="00EC1D4A"/>
    <w:rsid w:val="00EC2D90"/>
    <w:rsid w:val="00EC49D2"/>
    <w:rsid w:val="00EC505B"/>
    <w:rsid w:val="00EC524C"/>
    <w:rsid w:val="00EC7DD4"/>
    <w:rsid w:val="00ED08ED"/>
    <w:rsid w:val="00ED427D"/>
    <w:rsid w:val="00ED4413"/>
    <w:rsid w:val="00ED4C21"/>
    <w:rsid w:val="00ED6E89"/>
    <w:rsid w:val="00ED7075"/>
    <w:rsid w:val="00ED767E"/>
    <w:rsid w:val="00ED7932"/>
    <w:rsid w:val="00ED7AC1"/>
    <w:rsid w:val="00ED7F30"/>
    <w:rsid w:val="00EE0147"/>
    <w:rsid w:val="00EE2E50"/>
    <w:rsid w:val="00EE2E87"/>
    <w:rsid w:val="00EE4095"/>
    <w:rsid w:val="00EE56C6"/>
    <w:rsid w:val="00EE5B68"/>
    <w:rsid w:val="00EE6435"/>
    <w:rsid w:val="00EF1EF7"/>
    <w:rsid w:val="00EF2374"/>
    <w:rsid w:val="00EF4B15"/>
    <w:rsid w:val="00EF4E93"/>
    <w:rsid w:val="00EF5A79"/>
    <w:rsid w:val="00EF5E1F"/>
    <w:rsid w:val="00EF666C"/>
    <w:rsid w:val="00EF6B6D"/>
    <w:rsid w:val="00EF6EEA"/>
    <w:rsid w:val="00EF74D8"/>
    <w:rsid w:val="00F015F3"/>
    <w:rsid w:val="00F01823"/>
    <w:rsid w:val="00F01AF6"/>
    <w:rsid w:val="00F0266E"/>
    <w:rsid w:val="00F07D90"/>
    <w:rsid w:val="00F1093C"/>
    <w:rsid w:val="00F11B10"/>
    <w:rsid w:val="00F12B07"/>
    <w:rsid w:val="00F147BA"/>
    <w:rsid w:val="00F16E35"/>
    <w:rsid w:val="00F17D89"/>
    <w:rsid w:val="00F20200"/>
    <w:rsid w:val="00F2093C"/>
    <w:rsid w:val="00F212E6"/>
    <w:rsid w:val="00F22A4D"/>
    <w:rsid w:val="00F22D10"/>
    <w:rsid w:val="00F235C2"/>
    <w:rsid w:val="00F23A24"/>
    <w:rsid w:val="00F23EDE"/>
    <w:rsid w:val="00F2418A"/>
    <w:rsid w:val="00F24863"/>
    <w:rsid w:val="00F2520C"/>
    <w:rsid w:val="00F2530A"/>
    <w:rsid w:val="00F25493"/>
    <w:rsid w:val="00F270DE"/>
    <w:rsid w:val="00F27794"/>
    <w:rsid w:val="00F27D85"/>
    <w:rsid w:val="00F3028A"/>
    <w:rsid w:val="00F31385"/>
    <w:rsid w:val="00F31514"/>
    <w:rsid w:val="00F326D0"/>
    <w:rsid w:val="00F345A2"/>
    <w:rsid w:val="00F34A2D"/>
    <w:rsid w:val="00F34CA1"/>
    <w:rsid w:val="00F352C3"/>
    <w:rsid w:val="00F3592E"/>
    <w:rsid w:val="00F36290"/>
    <w:rsid w:val="00F3678C"/>
    <w:rsid w:val="00F40ADC"/>
    <w:rsid w:val="00F416A8"/>
    <w:rsid w:val="00F433F9"/>
    <w:rsid w:val="00F43C84"/>
    <w:rsid w:val="00F44451"/>
    <w:rsid w:val="00F4635A"/>
    <w:rsid w:val="00F4679D"/>
    <w:rsid w:val="00F50052"/>
    <w:rsid w:val="00F513B7"/>
    <w:rsid w:val="00F53408"/>
    <w:rsid w:val="00F553F1"/>
    <w:rsid w:val="00F55F7A"/>
    <w:rsid w:val="00F57803"/>
    <w:rsid w:val="00F57B67"/>
    <w:rsid w:val="00F64462"/>
    <w:rsid w:val="00F66D22"/>
    <w:rsid w:val="00F67F0A"/>
    <w:rsid w:val="00F67F5E"/>
    <w:rsid w:val="00F67FF6"/>
    <w:rsid w:val="00F72B95"/>
    <w:rsid w:val="00F73B3C"/>
    <w:rsid w:val="00F73F08"/>
    <w:rsid w:val="00F740DC"/>
    <w:rsid w:val="00F75A79"/>
    <w:rsid w:val="00F76EF2"/>
    <w:rsid w:val="00F77557"/>
    <w:rsid w:val="00F77947"/>
    <w:rsid w:val="00F809AC"/>
    <w:rsid w:val="00F81320"/>
    <w:rsid w:val="00F8144E"/>
    <w:rsid w:val="00F81A54"/>
    <w:rsid w:val="00F834AC"/>
    <w:rsid w:val="00F83718"/>
    <w:rsid w:val="00F83D1A"/>
    <w:rsid w:val="00F8487D"/>
    <w:rsid w:val="00F8506C"/>
    <w:rsid w:val="00F85150"/>
    <w:rsid w:val="00F8560C"/>
    <w:rsid w:val="00F86C17"/>
    <w:rsid w:val="00F91FC8"/>
    <w:rsid w:val="00F9699A"/>
    <w:rsid w:val="00F96EB3"/>
    <w:rsid w:val="00FA039A"/>
    <w:rsid w:val="00FA271C"/>
    <w:rsid w:val="00FA2B2A"/>
    <w:rsid w:val="00FA37E3"/>
    <w:rsid w:val="00FA4139"/>
    <w:rsid w:val="00FA68B2"/>
    <w:rsid w:val="00FB0FC4"/>
    <w:rsid w:val="00FB2756"/>
    <w:rsid w:val="00FB40EE"/>
    <w:rsid w:val="00FB4EB2"/>
    <w:rsid w:val="00FB5993"/>
    <w:rsid w:val="00FB6007"/>
    <w:rsid w:val="00FB7A60"/>
    <w:rsid w:val="00FC1434"/>
    <w:rsid w:val="00FC2501"/>
    <w:rsid w:val="00FC2BD0"/>
    <w:rsid w:val="00FC3001"/>
    <w:rsid w:val="00FC4359"/>
    <w:rsid w:val="00FC44A1"/>
    <w:rsid w:val="00FC5CB4"/>
    <w:rsid w:val="00FC65D4"/>
    <w:rsid w:val="00FC7038"/>
    <w:rsid w:val="00FC74EA"/>
    <w:rsid w:val="00FC75C8"/>
    <w:rsid w:val="00FC7F45"/>
    <w:rsid w:val="00FD03FF"/>
    <w:rsid w:val="00FD0449"/>
    <w:rsid w:val="00FD0F54"/>
    <w:rsid w:val="00FD1634"/>
    <w:rsid w:val="00FD2D89"/>
    <w:rsid w:val="00FD30D1"/>
    <w:rsid w:val="00FD3F00"/>
    <w:rsid w:val="00FD4B18"/>
    <w:rsid w:val="00FD525B"/>
    <w:rsid w:val="00FD7B74"/>
    <w:rsid w:val="00FE009E"/>
    <w:rsid w:val="00FE0874"/>
    <w:rsid w:val="00FE0F50"/>
    <w:rsid w:val="00FE32DA"/>
    <w:rsid w:val="00FE40E5"/>
    <w:rsid w:val="00FE4CA0"/>
    <w:rsid w:val="00FE5281"/>
    <w:rsid w:val="00FE644C"/>
    <w:rsid w:val="00FF2928"/>
    <w:rsid w:val="00FF2DA8"/>
    <w:rsid w:val="00FF322A"/>
    <w:rsid w:val="00FF35DB"/>
    <w:rsid w:val="00FF3BB0"/>
    <w:rsid w:val="00FF63AC"/>
    <w:rsid w:val="00FF6F1B"/>
    <w:rsid w:val="00FF7848"/>
    <w:rsid w:val="00FF7E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2C1B8C18"/>
  <w15:chartTrackingRefBased/>
  <w15:docId w15:val="{2CB41F34-20BB-45B3-B895-15B46039B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436"/>
    <w:pPr>
      <w:jc w:val="both"/>
    </w:pPr>
    <w:rPr>
      <w:rFonts w:ascii="Arial" w:hAnsi="Arial"/>
      <w:sz w:val="24"/>
      <w:szCs w:val="22"/>
      <w:lang w:eastAsia="en-US"/>
    </w:rPr>
  </w:style>
  <w:style w:type="paragraph" w:styleId="Ttulo1">
    <w:name w:val="heading 1"/>
    <w:basedOn w:val="Normal"/>
    <w:next w:val="Normal"/>
    <w:link w:val="Ttulo1Car"/>
    <w:uiPriority w:val="9"/>
    <w:qFormat/>
    <w:rsid w:val="003E36DB"/>
    <w:pPr>
      <w:keepNext/>
      <w:keepLines/>
      <w:spacing w:before="240"/>
      <w:outlineLvl w:val="0"/>
    </w:pPr>
    <w:rPr>
      <w:rFonts w:eastAsiaTheme="majorEastAsia" w:cstheme="majorBidi"/>
      <w:b/>
      <w:szCs w:val="32"/>
    </w:rPr>
  </w:style>
  <w:style w:type="paragraph" w:styleId="Ttulo2">
    <w:name w:val="heading 2"/>
    <w:basedOn w:val="Normal"/>
    <w:next w:val="Normal"/>
    <w:link w:val="Ttulo2Car"/>
    <w:uiPriority w:val="9"/>
    <w:unhideWhenUsed/>
    <w:qFormat/>
    <w:rsid w:val="00783CDA"/>
    <w:pPr>
      <w:keepNext/>
      <w:spacing w:before="240" w:after="60"/>
      <w:outlineLvl w:val="1"/>
    </w:pPr>
    <w:rPr>
      <w:rFonts w:eastAsia="Times New Roman"/>
      <w:b/>
      <w:bCs/>
      <w:iCs/>
      <w:szCs w:val="28"/>
      <w:lang w:val="x-none"/>
    </w:rPr>
  </w:style>
  <w:style w:type="paragraph" w:styleId="Ttulo3">
    <w:name w:val="heading 3"/>
    <w:basedOn w:val="Normal"/>
    <w:next w:val="Normal"/>
    <w:link w:val="Ttulo3Car"/>
    <w:uiPriority w:val="9"/>
    <w:semiHidden/>
    <w:unhideWhenUsed/>
    <w:qFormat/>
    <w:rsid w:val="00BE04F5"/>
    <w:pPr>
      <w:keepNext/>
      <w:keepLines/>
      <w:spacing w:before="4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ar"/>
    <w:uiPriority w:val="9"/>
    <w:semiHidden/>
    <w:unhideWhenUsed/>
    <w:qFormat/>
    <w:rsid w:val="00570C2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uiPriority w:val="9"/>
    <w:rsid w:val="00783CDA"/>
    <w:rPr>
      <w:rFonts w:ascii="Arial" w:eastAsia="Times New Roman" w:hAnsi="Arial"/>
      <w:b/>
      <w:bCs/>
      <w:iCs/>
      <w:sz w:val="24"/>
      <w:szCs w:val="28"/>
      <w:lang w:val="x-none" w:eastAsia="en-US"/>
    </w:rPr>
  </w:style>
  <w:style w:type="paragraph" w:styleId="Textonotapie">
    <w:name w:val="footnote text"/>
    <w:basedOn w:val="Normal"/>
    <w:link w:val="TextonotapieCar"/>
    <w:uiPriority w:val="99"/>
    <w:semiHidden/>
    <w:unhideWhenUsed/>
    <w:rsid w:val="003156E1"/>
    <w:pPr>
      <w:jc w:val="left"/>
    </w:pPr>
    <w:rPr>
      <w:rFonts w:eastAsia="Times New Roman"/>
      <w:sz w:val="18"/>
      <w:szCs w:val="20"/>
      <w:lang w:val="es-ES"/>
    </w:rPr>
  </w:style>
  <w:style w:type="character" w:customStyle="1" w:styleId="TextonotapieCar">
    <w:name w:val="Texto nota pie Car"/>
    <w:link w:val="Textonotapie"/>
    <w:uiPriority w:val="99"/>
    <w:semiHidden/>
    <w:rsid w:val="003156E1"/>
    <w:rPr>
      <w:rFonts w:ascii="Arial" w:eastAsia="Times New Roman" w:hAnsi="Arial"/>
      <w:sz w:val="18"/>
      <w:lang w:val="es-ES" w:eastAsia="en-US"/>
    </w:rPr>
  </w:style>
  <w:style w:type="paragraph" w:styleId="Sinespaciado">
    <w:name w:val="No Spacing"/>
    <w:link w:val="SinespaciadoCar"/>
    <w:uiPriority w:val="1"/>
    <w:qFormat/>
    <w:rsid w:val="003156E1"/>
    <w:rPr>
      <w:sz w:val="22"/>
      <w:szCs w:val="22"/>
      <w:lang w:eastAsia="en-US"/>
    </w:rPr>
  </w:style>
  <w:style w:type="character" w:customStyle="1" w:styleId="SinespaciadoCar">
    <w:name w:val="Sin espaciado Car"/>
    <w:link w:val="Sinespaciado"/>
    <w:uiPriority w:val="1"/>
    <w:rsid w:val="003156E1"/>
    <w:rPr>
      <w:sz w:val="22"/>
      <w:szCs w:val="22"/>
      <w:lang w:eastAsia="en-US" w:bidi="ar-SA"/>
    </w:rPr>
  </w:style>
  <w:style w:type="character" w:customStyle="1" w:styleId="TextodegloboCar">
    <w:name w:val="Texto de globo Car"/>
    <w:link w:val="Textodeglobo"/>
    <w:uiPriority w:val="99"/>
    <w:semiHidden/>
    <w:rsid w:val="003156E1"/>
    <w:rPr>
      <w:rFonts w:ascii="Tahoma" w:hAnsi="Tahoma" w:cs="Tahoma"/>
      <w:sz w:val="16"/>
      <w:szCs w:val="16"/>
      <w:lang w:eastAsia="en-US"/>
    </w:rPr>
  </w:style>
  <w:style w:type="paragraph" w:styleId="Textodeglobo">
    <w:name w:val="Balloon Text"/>
    <w:basedOn w:val="Normal"/>
    <w:link w:val="TextodegloboCar"/>
    <w:uiPriority w:val="99"/>
    <w:semiHidden/>
    <w:unhideWhenUsed/>
    <w:rsid w:val="003156E1"/>
    <w:rPr>
      <w:rFonts w:ascii="Tahoma" w:hAnsi="Tahoma"/>
      <w:sz w:val="16"/>
      <w:szCs w:val="16"/>
      <w:lang w:val="x-none"/>
    </w:rPr>
  </w:style>
  <w:style w:type="paragraph" w:styleId="Prrafodelista">
    <w:name w:val="List Paragraph"/>
    <w:basedOn w:val="Normal"/>
    <w:link w:val="PrrafodelistaCar"/>
    <w:uiPriority w:val="34"/>
    <w:qFormat/>
    <w:rsid w:val="003156E1"/>
    <w:pPr>
      <w:ind w:left="720"/>
      <w:contextualSpacing/>
    </w:pPr>
    <w:rPr>
      <w:rFonts w:ascii="Calibri" w:hAnsi="Calibri"/>
      <w:sz w:val="16"/>
      <w:lang w:val="es-ES"/>
    </w:rPr>
  </w:style>
  <w:style w:type="character" w:customStyle="1" w:styleId="PrrafodelistaCar">
    <w:name w:val="Párrafo de lista Car"/>
    <w:link w:val="Prrafodelista"/>
    <w:uiPriority w:val="34"/>
    <w:rsid w:val="003156E1"/>
    <w:rPr>
      <w:sz w:val="16"/>
      <w:szCs w:val="22"/>
      <w:lang w:val="es-ES" w:eastAsia="en-US"/>
    </w:rPr>
  </w:style>
  <w:style w:type="paragraph" w:customStyle="1" w:styleId="CM10">
    <w:name w:val="CM10"/>
    <w:basedOn w:val="Normal"/>
    <w:next w:val="Normal"/>
    <w:uiPriority w:val="99"/>
    <w:rsid w:val="003156E1"/>
    <w:pPr>
      <w:widowControl w:val="0"/>
      <w:autoSpaceDE w:val="0"/>
      <w:autoSpaceDN w:val="0"/>
      <w:adjustRightInd w:val="0"/>
    </w:pPr>
    <w:rPr>
      <w:rFonts w:eastAsia="Times New Roman" w:cs="Arial"/>
      <w:szCs w:val="24"/>
      <w:lang w:val="es-ES" w:eastAsia="es-ES"/>
    </w:rPr>
  </w:style>
  <w:style w:type="paragraph" w:customStyle="1" w:styleId="Default">
    <w:name w:val="Default"/>
    <w:rsid w:val="003156E1"/>
    <w:pPr>
      <w:autoSpaceDE w:val="0"/>
      <w:autoSpaceDN w:val="0"/>
      <w:adjustRightInd w:val="0"/>
    </w:pPr>
    <w:rPr>
      <w:rFonts w:ascii="Arial" w:hAnsi="Arial" w:cs="Arial"/>
      <w:color w:val="000000"/>
      <w:sz w:val="24"/>
      <w:szCs w:val="24"/>
    </w:rPr>
  </w:style>
  <w:style w:type="paragraph" w:customStyle="1" w:styleId="Ttulo">
    <w:name w:val="Título"/>
    <w:basedOn w:val="Normal"/>
    <w:link w:val="TtuloCar"/>
    <w:qFormat/>
    <w:rsid w:val="003156E1"/>
    <w:pPr>
      <w:jc w:val="center"/>
    </w:pPr>
    <w:rPr>
      <w:rFonts w:eastAsia="Times New Roman"/>
      <w:b/>
      <w:szCs w:val="20"/>
      <w:lang w:val="es-ES_tradnl" w:eastAsia="es-ES"/>
    </w:rPr>
  </w:style>
  <w:style w:type="character" w:customStyle="1" w:styleId="TtuloCar">
    <w:name w:val="Título Car"/>
    <w:link w:val="Ttulo"/>
    <w:rsid w:val="003156E1"/>
    <w:rPr>
      <w:rFonts w:ascii="Arial" w:eastAsia="Times New Roman" w:hAnsi="Arial"/>
      <w:b/>
      <w:sz w:val="24"/>
      <w:lang w:val="es-ES_tradnl" w:eastAsia="es-ES"/>
    </w:rPr>
  </w:style>
  <w:style w:type="paragraph" w:styleId="Encabezado">
    <w:name w:val="header"/>
    <w:basedOn w:val="Normal"/>
    <w:link w:val="EncabezadoCar"/>
    <w:uiPriority w:val="99"/>
    <w:unhideWhenUsed/>
    <w:rsid w:val="003156E1"/>
    <w:pPr>
      <w:tabs>
        <w:tab w:val="center" w:pos="4419"/>
        <w:tab w:val="right" w:pos="8838"/>
      </w:tabs>
    </w:pPr>
    <w:rPr>
      <w:sz w:val="16"/>
      <w:lang w:val="x-none"/>
    </w:rPr>
  </w:style>
  <w:style w:type="character" w:customStyle="1" w:styleId="EncabezadoCar">
    <w:name w:val="Encabezado Car"/>
    <w:link w:val="Encabezado"/>
    <w:uiPriority w:val="99"/>
    <w:rsid w:val="003156E1"/>
    <w:rPr>
      <w:rFonts w:ascii="Arial" w:hAnsi="Arial"/>
      <w:sz w:val="16"/>
      <w:szCs w:val="22"/>
      <w:lang w:eastAsia="en-US"/>
    </w:rPr>
  </w:style>
  <w:style w:type="character" w:customStyle="1" w:styleId="PiedepginaCar">
    <w:name w:val="Pie de página Car"/>
    <w:link w:val="Piedepgina"/>
    <w:uiPriority w:val="99"/>
    <w:rsid w:val="003156E1"/>
    <w:rPr>
      <w:rFonts w:ascii="Arial" w:hAnsi="Arial"/>
      <w:sz w:val="16"/>
    </w:rPr>
  </w:style>
  <w:style w:type="paragraph" w:styleId="Piedepgina">
    <w:name w:val="footer"/>
    <w:basedOn w:val="Normal"/>
    <w:link w:val="PiedepginaCar"/>
    <w:uiPriority w:val="99"/>
    <w:unhideWhenUsed/>
    <w:rsid w:val="003156E1"/>
    <w:pPr>
      <w:tabs>
        <w:tab w:val="center" w:pos="4419"/>
        <w:tab w:val="right" w:pos="8838"/>
      </w:tabs>
    </w:pPr>
    <w:rPr>
      <w:sz w:val="16"/>
      <w:szCs w:val="20"/>
      <w:lang w:val="x-none" w:eastAsia="x-none"/>
    </w:rPr>
  </w:style>
  <w:style w:type="character" w:customStyle="1" w:styleId="PiedepginaCar1">
    <w:name w:val="Pie de página Car1"/>
    <w:uiPriority w:val="99"/>
    <w:semiHidden/>
    <w:rsid w:val="003156E1"/>
    <w:rPr>
      <w:rFonts w:ascii="Arial" w:hAnsi="Arial"/>
      <w:sz w:val="24"/>
      <w:szCs w:val="22"/>
      <w:lang w:eastAsia="en-US"/>
    </w:rPr>
  </w:style>
  <w:style w:type="character" w:customStyle="1" w:styleId="TextocomentarioCar">
    <w:name w:val="Texto comentario Car"/>
    <w:link w:val="Textocomentario"/>
    <w:uiPriority w:val="99"/>
    <w:semiHidden/>
    <w:rsid w:val="003156E1"/>
    <w:rPr>
      <w:rFonts w:ascii="Arial" w:hAnsi="Arial"/>
    </w:rPr>
  </w:style>
  <w:style w:type="paragraph" w:styleId="Textocomentario">
    <w:name w:val="annotation text"/>
    <w:basedOn w:val="Normal"/>
    <w:link w:val="TextocomentarioCar"/>
    <w:uiPriority w:val="99"/>
    <w:semiHidden/>
    <w:unhideWhenUsed/>
    <w:rsid w:val="003156E1"/>
    <w:rPr>
      <w:sz w:val="20"/>
      <w:szCs w:val="20"/>
      <w:lang w:val="x-none" w:eastAsia="x-none"/>
    </w:rPr>
  </w:style>
  <w:style w:type="character" w:customStyle="1" w:styleId="TextocomentarioCar1">
    <w:name w:val="Texto comentario Car1"/>
    <w:uiPriority w:val="99"/>
    <w:semiHidden/>
    <w:rsid w:val="003156E1"/>
    <w:rPr>
      <w:rFonts w:ascii="Arial" w:hAnsi="Arial"/>
      <w:lang w:eastAsia="en-US"/>
    </w:rPr>
  </w:style>
  <w:style w:type="character" w:customStyle="1" w:styleId="AsuntodelcomentarioCar">
    <w:name w:val="Asunto del comentario Car"/>
    <w:link w:val="Asuntodelcomentario"/>
    <w:uiPriority w:val="99"/>
    <w:semiHidden/>
    <w:rsid w:val="003156E1"/>
    <w:rPr>
      <w:rFonts w:ascii="Arial" w:hAnsi="Arial"/>
      <w:b/>
      <w:bCs/>
    </w:rPr>
  </w:style>
  <w:style w:type="paragraph" w:styleId="Asuntodelcomentario">
    <w:name w:val="annotation subject"/>
    <w:basedOn w:val="Textocomentario"/>
    <w:next w:val="Textocomentario"/>
    <w:link w:val="AsuntodelcomentarioCar"/>
    <w:uiPriority w:val="99"/>
    <w:semiHidden/>
    <w:unhideWhenUsed/>
    <w:rsid w:val="003156E1"/>
    <w:rPr>
      <w:b/>
      <w:bCs/>
    </w:rPr>
  </w:style>
  <w:style w:type="character" w:customStyle="1" w:styleId="AsuntodelcomentarioCar1">
    <w:name w:val="Asunto del comentario Car1"/>
    <w:uiPriority w:val="99"/>
    <w:semiHidden/>
    <w:rsid w:val="003156E1"/>
    <w:rPr>
      <w:rFonts w:ascii="Arial" w:hAnsi="Arial"/>
      <w:b/>
      <w:bCs/>
      <w:lang w:eastAsia="en-US"/>
    </w:rPr>
  </w:style>
  <w:style w:type="character" w:styleId="Refdenotaalpie">
    <w:name w:val="footnote reference"/>
    <w:uiPriority w:val="99"/>
    <w:semiHidden/>
    <w:unhideWhenUsed/>
    <w:rsid w:val="003156E1"/>
    <w:rPr>
      <w:vertAlign w:val="superscript"/>
    </w:rPr>
  </w:style>
  <w:style w:type="table" w:styleId="Tablaconcuadrcula">
    <w:name w:val="Table Grid"/>
    <w:basedOn w:val="Tablanormal"/>
    <w:uiPriority w:val="59"/>
    <w:rsid w:val="00524E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595967"/>
    <w:rPr>
      <w:sz w:val="20"/>
      <w:szCs w:val="20"/>
      <w:lang w:val="x-none"/>
    </w:rPr>
  </w:style>
  <w:style w:type="character" w:customStyle="1" w:styleId="TextonotaalfinalCar">
    <w:name w:val="Texto nota al final Car"/>
    <w:link w:val="Textonotaalfinal"/>
    <w:uiPriority w:val="99"/>
    <w:semiHidden/>
    <w:rsid w:val="00595967"/>
    <w:rPr>
      <w:rFonts w:ascii="Arial" w:hAnsi="Arial"/>
      <w:lang w:eastAsia="en-US"/>
    </w:rPr>
  </w:style>
  <w:style w:type="character" w:styleId="Refdenotaalfinal">
    <w:name w:val="endnote reference"/>
    <w:uiPriority w:val="99"/>
    <w:semiHidden/>
    <w:unhideWhenUsed/>
    <w:rsid w:val="00595967"/>
    <w:rPr>
      <w:vertAlign w:val="superscript"/>
    </w:rPr>
  </w:style>
  <w:style w:type="character" w:styleId="Hipervnculo">
    <w:name w:val="Hyperlink"/>
    <w:uiPriority w:val="99"/>
    <w:unhideWhenUsed/>
    <w:rsid w:val="00595967"/>
    <w:rPr>
      <w:color w:val="0000FF"/>
      <w:u w:val="single"/>
    </w:rPr>
  </w:style>
  <w:style w:type="table" w:styleId="Listavistosa-nfasis1">
    <w:name w:val="Colorful List Accent 1"/>
    <w:basedOn w:val="Tablanormal"/>
    <w:uiPriority w:val="72"/>
    <w:rsid w:val="00921AC7"/>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Listavistosa1">
    <w:name w:val="Lista vistosa1"/>
    <w:basedOn w:val="Tablanormal"/>
    <w:uiPriority w:val="72"/>
    <w:rsid w:val="00921AC7"/>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character" w:customStyle="1" w:styleId="Listavistosa-nfasis1Car">
    <w:name w:val="Lista vistosa - Énfasis 1 Car"/>
    <w:link w:val="Listavistosa-nfasis11"/>
    <w:uiPriority w:val="34"/>
    <w:locked/>
    <w:rsid w:val="006A4540"/>
    <w:rPr>
      <w:rFonts w:ascii="Arial" w:eastAsia="Times New Roman" w:hAnsi="Arial" w:cs="Arial"/>
      <w:sz w:val="24"/>
      <w:szCs w:val="24"/>
      <w:lang w:val="x-none" w:eastAsia="es-ES"/>
    </w:rPr>
  </w:style>
  <w:style w:type="paragraph" w:customStyle="1" w:styleId="Listavistosa-nfasis11">
    <w:name w:val="Lista vistosa - Énfasis 11"/>
    <w:basedOn w:val="Normal"/>
    <w:link w:val="Listavistosa-nfasis1Car"/>
    <w:uiPriority w:val="34"/>
    <w:qFormat/>
    <w:rsid w:val="006A4540"/>
    <w:pPr>
      <w:ind w:left="720"/>
      <w:contextualSpacing/>
    </w:pPr>
    <w:rPr>
      <w:rFonts w:eastAsia="Times New Roman"/>
      <w:szCs w:val="24"/>
      <w:lang w:val="x-none" w:eastAsia="es-ES"/>
    </w:rPr>
  </w:style>
  <w:style w:type="character" w:styleId="Refdecomentario">
    <w:name w:val="annotation reference"/>
    <w:uiPriority w:val="99"/>
    <w:semiHidden/>
    <w:unhideWhenUsed/>
    <w:rsid w:val="00BE4968"/>
    <w:rPr>
      <w:sz w:val="16"/>
      <w:szCs w:val="16"/>
    </w:rPr>
  </w:style>
  <w:style w:type="character" w:customStyle="1" w:styleId="apple-converted-space">
    <w:name w:val="apple-converted-space"/>
    <w:basedOn w:val="Fuentedeprrafopredeter"/>
    <w:rsid w:val="00B07D5E"/>
  </w:style>
  <w:style w:type="paragraph" w:customStyle="1" w:styleId="Texto">
    <w:name w:val="Texto"/>
    <w:basedOn w:val="Normal"/>
    <w:link w:val="TextoCar"/>
    <w:rsid w:val="00B07D5E"/>
    <w:pPr>
      <w:spacing w:after="101" w:line="216" w:lineRule="exact"/>
      <w:ind w:firstLine="288"/>
    </w:pPr>
    <w:rPr>
      <w:rFonts w:eastAsia="Times New Roman"/>
      <w:sz w:val="18"/>
      <w:szCs w:val="18"/>
      <w:lang w:val="x-none" w:eastAsia="es-ES"/>
    </w:rPr>
  </w:style>
  <w:style w:type="character" w:customStyle="1" w:styleId="TextoCar">
    <w:name w:val="Texto Car"/>
    <w:link w:val="Texto"/>
    <w:locked/>
    <w:rsid w:val="00B07D5E"/>
    <w:rPr>
      <w:rFonts w:ascii="Arial" w:eastAsia="Times New Roman" w:hAnsi="Arial" w:cs="Arial"/>
      <w:sz w:val="18"/>
      <w:szCs w:val="18"/>
      <w:lang w:eastAsia="es-ES"/>
    </w:rPr>
  </w:style>
  <w:style w:type="paragraph" w:customStyle="1" w:styleId="ROMANOS">
    <w:name w:val="ROMANOS"/>
    <w:basedOn w:val="Normal"/>
    <w:link w:val="ROMANOSCar"/>
    <w:rsid w:val="00B07D5E"/>
    <w:pPr>
      <w:tabs>
        <w:tab w:val="left" w:pos="720"/>
      </w:tabs>
      <w:spacing w:after="101" w:line="216" w:lineRule="exact"/>
      <w:ind w:left="720" w:hanging="432"/>
    </w:pPr>
    <w:rPr>
      <w:rFonts w:eastAsia="Times New Roman"/>
      <w:sz w:val="18"/>
      <w:szCs w:val="18"/>
      <w:lang w:val="x-none" w:eastAsia="x-none"/>
    </w:rPr>
  </w:style>
  <w:style w:type="character" w:customStyle="1" w:styleId="ROMANOSCar">
    <w:name w:val="ROMANOS Car"/>
    <w:link w:val="ROMANOS"/>
    <w:locked/>
    <w:rsid w:val="00B07D5E"/>
    <w:rPr>
      <w:rFonts w:ascii="Arial" w:eastAsia="Times New Roman" w:hAnsi="Arial"/>
      <w:sz w:val="18"/>
      <w:szCs w:val="18"/>
      <w:lang w:val="x-none" w:eastAsia="x-none"/>
    </w:rPr>
  </w:style>
  <w:style w:type="paragraph" w:customStyle="1" w:styleId="texto0">
    <w:name w:val="texto"/>
    <w:basedOn w:val="Normal"/>
    <w:rsid w:val="00B07D5E"/>
    <w:pPr>
      <w:snapToGrid w:val="0"/>
      <w:spacing w:after="101" w:line="216" w:lineRule="exact"/>
      <w:ind w:firstLine="288"/>
    </w:pPr>
    <w:rPr>
      <w:rFonts w:eastAsia="Times New Roman" w:cs="Arial"/>
      <w:sz w:val="18"/>
      <w:szCs w:val="18"/>
      <w:lang w:eastAsia="es-ES"/>
    </w:rPr>
  </w:style>
  <w:style w:type="table" w:styleId="Cuadrculamedia2-nfasis2">
    <w:name w:val="Medium Grid 2 Accent 2"/>
    <w:basedOn w:val="Tablanormal"/>
    <w:uiPriority w:val="68"/>
    <w:rsid w:val="00F22D10"/>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paragraph" w:styleId="ndice1">
    <w:name w:val="index 1"/>
    <w:basedOn w:val="Normal"/>
    <w:next w:val="Normal"/>
    <w:autoRedefine/>
    <w:uiPriority w:val="99"/>
    <w:semiHidden/>
    <w:unhideWhenUsed/>
    <w:rsid w:val="00AF18E0"/>
    <w:pPr>
      <w:ind w:left="240" w:hanging="240"/>
    </w:pPr>
  </w:style>
  <w:style w:type="character" w:customStyle="1" w:styleId="Ttulo1Car">
    <w:name w:val="Título 1 Car"/>
    <w:basedOn w:val="Fuentedeprrafopredeter"/>
    <w:link w:val="Ttulo1"/>
    <w:uiPriority w:val="9"/>
    <w:rsid w:val="003E36DB"/>
    <w:rPr>
      <w:rFonts w:ascii="Arial" w:eastAsiaTheme="majorEastAsia" w:hAnsi="Arial" w:cstheme="majorBidi"/>
      <w:b/>
      <w:sz w:val="24"/>
      <w:szCs w:val="32"/>
      <w:lang w:eastAsia="en-US"/>
    </w:rPr>
  </w:style>
  <w:style w:type="paragraph" w:styleId="TtulodeTDC">
    <w:name w:val="TOC Heading"/>
    <w:basedOn w:val="Ttulo1"/>
    <w:next w:val="Normal"/>
    <w:uiPriority w:val="39"/>
    <w:unhideWhenUsed/>
    <w:qFormat/>
    <w:rsid w:val="00AF18E0"/>
    <w:pPr>
      <w:spacing w:line="259" w:lineRule="auto"/>
      <w:jc w:val="left"/>
      <w:outlineLvl w:val="9"/>
    </w:pPr>
    <w:rPr>
      <w:lang w:eastAsia="es-MX"/>
    </w:rPr>
  </w:style>
  <w:style w:type="paragraph" w:styleId="TDC2">
    <w:name w:val="toc 2"/>
    <w:basedOn w:val="Normal"/>
    <w:next w:val="Normal"/>
    <w:autoRedefine/>
    <w:uiPriority w:val="39"/>
    <w:unhideWhenUsed/>
    <w:rsid w:val="00693165"/>
    <w:pPr>
      <w:tabs>
        <w:tab w:val="left" w:pos="880"/>
        <w:tab w:val="right" w:leader="dot" w:pos="8931"/>
      </w:tabs>
      <w:spacing w:after="100" w:line="259" w:lineRule="auto"/>
      <w:ind w:left="220" w:right="-93"/>
    </w:pPr>
    <w:rPr>
      <w:rFonts w:asciiTheme="minorHAnsi" w:eastAsiaTheme="minorEastAsia" w:hAnsiTheme="minorHAnsi"/>
      <w:sz w:val="22"/>
      <w:lang w:eastAsia="es-MX"/>
    </w:rPr>
  </w:style>
  <w:style w:type="paragraph" w:styleId="TDC1">
    <w:name w:val="toc 1"/>
    <w:basedOn w:val="Normal"/>
    <w:next w:val="Normal"/>
    <w:autoRedefine/>
    <w:uiPriority w:val="39"/>
    <w:unhideWhenUsed/>
    <w:rsid w:val="00783CDA"/>
    <w:pPr>
      <w:tabs>
        <w:tab w:val="right" w:leader="dot" w:pos="8828"/>
      </w:tabs>
      <w:spacing w:after="100"/>
      <w:jc w:val="left"/>
    </w:pPr>
    <w:rPr>
      <w:rFonts w:asciiTheme="minorHAnsi" w:eastAsiaTheme="minorEastAsia" w:hAnsiTheme="minorHAnsi"/>
      <w:noProof/>
      <w:sz w:val="22"/>
      <w:lang w:eastAsia="es-MX"/>
    </w:rPr>
  </w:style>
  <w:style w:type="paragraph" w:styleId="TDC3">
    <w:name w:val="toc 3"/>
    <w:basedOn w:val="Normal"/>
    <w:next w:val="Normal"/>
    <w:autoRedefine/>
    <w:uiPriority w:val="39"/>
    <w:unhideWhenUsed/>
    <w:rsid w:val="00AF18E0"/>
    <w:pPr>
      <w:spacing w:after="100" w:line="259" w:lineRule="auto"/>
      <w:ind w:left="440"/>
      <w:jc w:val="left"/>
    </w:pPr>
    <w:rPr>
      <w:rFonts w:asciiTheme="minorHAnsi" w:eastAsiaTheme="minorEastAsia" w:hAnsiTheme="minorHAnsi"/>
      <w:sz w:val="22"/>
      <w:lang w:eastAsia="es-MX"/>
    </w:rPr>
  </w:style>
  <w:style w:type="paragraph" w:styleId="Subttulo">
    <w:name w:val="Subtitle"/>
    <w:basedOn w:val="Normal"/>
    <w:next w:val="Normal"/>
    <w:link w:val="SubttuloCar"/>
    <w:uiPriority w:val="11"/>
    <w:qFormat/>
    <w:rsid w:val="00AF18E0"/>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tuloCar">
    <w:name w:val="Subtítulo Car"/>
    <w:basedOn w:val="Fuentedeprrafopredeter"/>
    <w:link w:val="Subttulo"/>
    <w:uiPriority w:val="11"/>
    <w:rsid w:val="00AF18E0"/>
    <w:rPr>
      <w:rFonts w:asciiTheme="minorHAnsi" w:eastAsiaTheme="minorEastAsia" w:hAnsiTheme="minorHAnsi" w:cstheme="minorBidi"/>
      <w:color w:val="5A5A5A" w:themeColor="text1" w:themeTint="A5"/>
      <w:spacing w:val="15"/>
      <w:sz w:val="22"/>
      <w:szCs w:val="22"/>
      <w:lang w:eastAsia="en-US"/>
    </w:rPr>
  </w:style>
  <w:style w:type="character" w:customStyle="1" w:styleId="Ttulo4Car">
    <w:name w:val="Título 4 Car"/>
    <w:basedOn w:val="Fuentedeprrafopredeter"/>
    <w:link w:val="Ttulo4"/>
    <w:uiPriority w:val="9"/>
    <w:semiHidden/>
    <w:rsid w:val="00570C24"/>
    <w:rPr>
      <w:rFonts w:asciiTheme="majorHAnsi" w:eastAsiaTheme="majorEastAsia" w:hAnsiTheme="majorHAnsi" w:cstheme="majorBidi"/>
      <w:i/>
      <w:iCs/>
      <w:color w:val="2E74B5" w:themeColor="accent1" w:themeShade="BF"/>
      <w:sz w:val="24"/>
      <w:szCs w:val="22"/>
      <w:lang w:eastAsia="en-US"/>
    </w:rPr>
  </w:style>
  <w:style w:type="table" w:styleId="Tablanormal4">
    <w:name w:val="Plain Table 4"/>
    <w:basedOn w:val="Tablanormal"/>
    <w:uiPriority w:val="44"/>
    <w:rsid w:val="00823E05"/>
    <w:rPr>
      <w:sz w:val="22"/>
      <w:szCs w:val="22"/>
      <w:lang w:eastAsia="en-US"/>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3Car">
    <w:name w:val="Título 3 Car"/>
    <w:basedOn w:val="Fuentedeprrafopredeter"/>
    <w:link w:val="Ttulo3"/>
    <w:uiPriority w:val="9"/>
    <w:semiHidden/>
    <w:rsid w:val="00BE04F5"/>
    <w:rPr>
      <w:rFonts w:asciiTheme="majorHAnsi" w:eastAsiaTheme="majorEastAsia" w:hAnsiTheme="majorHAnsi" w:cstheme="majorBidi"/>
      <w:color w:val="1F4D78"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6785">
      <w:bodyDiv w:val="1"/>
      <w:marLeft w:val="0"/>
      <w:marRight w:val="0"/>
      <w:marTop w:val="0"/>
      <w:marBottom w:val="0"/>
      <w:divBdr>
        <w:top w:val="none" w:sz="0" w:space="0" w:color="auto"/>
        <w:left w:val="none" w:sz="0" w:space="0" w:color="auto"/>
        <w:bottom w:val="none" w:sz="0" w:space="0" w:color="auto"/>
        <w:right w:val="none" w:sz="0" w:space="0" w:color="auto"/>
      </w:divBdr>
    </w:div>
    <w:div w:id="16932272">
      <w:bodyDiv w:val="1"/>
      <w:marLeft w:val="0"/>
      <w:marRight w:val="0"/>
      <w:marTop w:val="0"/>
      <w:marBottom w:val="0"/>
      <w:divBdr>
        <w:top w:val="none" w:sz="0" w:space="0" w:color="auto"/>
        <w:left w:val="none" w:sz="0" w:space="0" w:color="auto"/>
        <w:bottom w:val="none" w:sz="0" w:space="0" w:color="auto"/>
        <w:right w:val="none" w:sz="0" w:space="0" w:color="auto"/>
      </w:divBdr>
    </w:div>
    <w:div w:id="39090834">
      <w:bodyDiv w:val="1"/>
      <w:marLeft w:val="0"/>
      <w:marRight w:val="0"/>
      <w:marTop w:val="0"/>
      <w:marBottom w:val="0"/>
      <w:divBdr>
        <w:top w:val="none" w:sz="0" w:space="0" w:color="auto"/>
        <w:left w:val="none" w:sz="0" w:space="0" w:color="auto"/>
        <w:bottom w:val="none" w:sz="0" w:space="0" w:color="auto"/>
        <w:right w:val="none" w:sz="0" w:space="0" w:color="auto"/>
      </w:divBdr>
    </w:div>
    <w:div w:id="40327407">
      <w:bodyDiv w:val="1"/>
      <w:marLeft w:val="0"/>
      <w:marRight w:val="0"/>
      <w:marTop w:val="0"/>
      <w:marBottom w:val="0"/>
      <w:divBdr>
        <w:top w:val="none" w:sz="0" w:space="0" w:color="auto"/>
        <w:left w:val="none" w:sz="0" w:space="0" w:color="auto"/>
        <w:bottom w:val="none" w:sz="0" w:space="0" w:color="auto"/>
        <w:right w:val="none" w:sz="0" w:space="0" w:color="auto"/>
      </w:divBdr>
    </w:div>
    <w:div w:id="58675216">
      <w:bodyDiv w:val="1"/>
      <w:marLeft w:val="0"/>
      <w:marRight w:val="0"/>
      <w:marTop w:val="0"/>
      <w:marBottom w:val="0"/>
      <w:divBdr>
        <w:top w:val="none" w:sz="0" w:space="0" w:color="auto"/>
        <w:left w:val="none" w:sz="0" w:space="0" w:color="auto"/>
        <w:bottom w:val="none" w:sz="0" w:space="0" w:color="auto"/>
        <w:right w:val="none" w:sz="0" w:space="0" w:color="auto"/>
      </w:divBdr>
    </w:div>
    <w:div w:id="65420565">
      <w:bodyDiv w:val="1"/>
      <w:marLeft w:val="0"/>
      <w:marRight w:val="0"/>
      <w:marTop w:val="0"/>
      <w:marBottom w:val="0"/>
      <w:divBdr>
        <w:top w:val="none" w:sz="0" w:space="0" w:color="auto"/>
        <w:left w:val="none" w:sz="0" w:space="0" w:color="auto"/>
        <w:bottom w:val="none" w:sz="0" w:space="0" w:color="auto"/>
        <w:right w:val="none" w:sz="0" w:space="0" w:color="auto"/>
      </w:divBdr>
    </w:div>
    <w:div w:id="97676577">
      <w:bodyDiv w:val="1"/>
      <w:marLeft w:val="0"/>
      <w:marRight w:val="0"/>
      <w:marTop w:val="0"/>
      <w:marBottom w:val="0"/>
      <w:divBdr>
        <w:top w:val="none" w:sz="0" w:space="0" w:color="auto"/>
        <w:left w:val="none" w:sz="0" w:space="0" w:color="auto"/>
        <w:bottom w:val="none" w:sz="0" w:space="0" w:color="auto"/>
        <w:right w:val="none" w:sz="0" w:space="0" w:color="auto"/>
      </w:divBdr>
    </w:div>
    <w:div w:id="121508684">
      <w:bodyDiv w:val="1"/>
      <w:marLeft w:val="0"/>
      <w:marRight w:val="0"/>
      <w:marTop w:val="0"/>
      <w:marBottom w:val="0"/>
      <w:divBdr>
        <w:top w:val="none" w:sz="0" w:space="0" w:color="auto"/>
        <w:left w:val="none" w:sz="0" w:space="0" w:color="auto"/>
        <w:bottom w:val="none" w:sz="0" w:space="0" w:color="auto"/>
        <w:right w:val="none" w:sz="0" w:space="0" w:color="auto"/>
      </w:divBdr>
    </w:div>
    <w:div w:id="122238832">
      <w:bodyDiv w:val="1"/>
      <w:marLeft w:val="0"/>
      <w:marRight w:val="0"/>
      <w:marTop w:val="0"/>
      <w:marBottom w:val="0"/>
      <w:divBdr>
        <w:top w:val="none" w:sz="0" w:space="0" w:color="auto"/>
        <w:left w:val="none" w:sz="0" w:space="0" w:color="auto"/>
        <w:bottom w:val="none" w:sz="0" w:space="0" w:color="auto"/>
        <w:right w:val="none" w:sz="0" w:space="0" w:color="auto"/>
      </w:divBdr>
    </w:div>
    <w:div w:id="149253555">
      <w:bodyDiv w:val="1"/>
      <w:marLeft w:val="0"/>
      <w:marRight w:val="0"/>
      <w:marTop w:val="0"/>
      <w:marBottom w:val="0"/>
      <w:divBdr>
        <w:top w:val="none" w:sz="0" w:space="0" w:color="auto"/>
        <w:left w:val="none" w:sz="0" w:space="0" w:color="auto"/>
        <w:bottom w:val="none" w:sz="0" w:space="0" w:color="auto"/>
        <w:right w:val="none" w:sz="0" w:space="0" w:color="auto"/>
      </w:divBdr>
    </w:div>
    <w:div w:id="187574295">
      <w:bodyDiv w:val="1"/>
      <w:marLeft w:val="0"/>
      <w:marRight w:val="0"/>
      <w:marTop w:val="0"/>
      <w:marBottom w:val="0"/>
      <w:divBdr>
        <w:top w:val="none" w:sz="0" w:space="0" w:color="auto"/>
        <w:left w:val="none" w:sz="0" w:space="0" w:color="auto"/>
        <w:bottom w:val="none" w:sz="0" w:space="0" w:color="auto"/>
        <w:right w:val="none" w:sz="0" w:space="0" w:color="auto"/>
      </w:divBdr>
    </w:div>
    <w:div w:id="226427127">
      <w:bodyDiv w:val="1"/>
      <w:marLeft w:val="0"/>
      <w:marRight w:val="0"/>
      <w:marTop w:val="0"/>
      <w:marBottom w:val="0"/>
      <w:divBdr>
        <w:top w:val="none" w:sz="0" w:space="0" w:color="auto"/>
        <w:left w:val="none" w:sz="0" w:space="0" w:color="auto"/>
        <w:bottom w:val="none" w:sz="0" w:space="0" w:color="auto"/>
        <w:right w:val="none" w:sz="0" w:space="0" w:color="auto"/>
      </w:divBdr>
    </w:div>
    <w:div w:id="315572595">
      <w:bodyDiv w:val="1"/>
      <w:marLeft w:val="0"/>
      <w:marRight w:val="0"/>
      <w:marTop w:val="0"/>
      <w:marBottom w:val="0"/>
      <w:divBdr>
        <w:top w:val="none" w:sz="0" w:space="0" w:color="auto"/>
        <w:left w:val="none" w:sz="0" w:space="0" w:color="auto"/>
        <w:bottom w:val="none" w:sz="0" w:space="0" w:color="auto"/>
        <w:right w:val="none" w:sz="0" w:space="0" w:color="auto"/>
      </w:divBdr>
    </w:div>
    <w:div w:id="317269712">
      <w:bodyDiv w:val="1"/>
      <w:marLeft w:val="0"/>
      <w:marRight w:val="0"/>
      <w:marTop w:val="0"/>
      <w:marBottom w:val="0"/>
      <w:divBdr>
        <w:top w:val="none" w:sz="0" w:space="0" w:color="auto"/>
        <w:left w:val="none" w:sz="0" w:space="0" w:color="auto"/>
        <w:bottom w:val="none" w:sz="0" w:space="0" w:color="auto"/>
        <w:right w:val="none" w:sz="0" w:space="0" w:color="auto"/>
      </w:divBdr>
    </w:div>
    <w:div w:id="321547809">
      <w:bodyDiv w:val="1"/>
      <w:marLeft w:val="0"/>
      <w:marRight w:val="0"/>
      <w:marTop w:val="0"/>
      <w:marBottom w:val="0"/>
      <w:divBdr>
        <w:top w:val="none" w:sz="0" w:space="0" w:color="auto"/>
        <w:left w:val="none" w:sz="0" w:space="0" w:color="auto"/>
        <w:bottom w:val="none" w:sz="0" w:space="0" w:color="auto"/>
        <w:right w:val="none" w:sz="0" w:space="0" w:color="auto"/>
      </w:divBdr>
    </w:div>
    <w:div w:id="332071045">
      <w:bodyDiv w:val="1"/>
      <w:marLeft w:val="0"/>
      <w:marRight w:val="0"/>
      <w:marTop w:val="0"/>
      <w:marBottom w:val="0"/>
      <w:divBdr>
        <w:top w:val="none" w:sz="0" w:space="0" w:color="auto"/>
        <w:left w:val="none" w:sz="0" w:space="0" w:color="auto"/>
        <w:bottom w:val="none" w:sz="0" w:space="0" w:color="auto"/>
        <w:right w:val="none" w:sz="0" w:space="0" w:color="auto"/>
      </w:divBdr>
    </w:div>
    <w:div w:id="336687830">
      <w:bodyDiv w:val="1"/>
      <w:marLeft w:val="0"/>
      <w:marRight w:val="0"/>
      <w:marTop w:val="0"/>
      <w:marBottom w:val="0"/>
      <w:divBdr>
        <w:top w:val="none" w:sz="0" w:space="0" w:color="auto"/>
        <w:left w:val="none" w:sz="0" w:space="0" w:color="auto"/>
        <w:bottom w:val="none" w:sz="0" w:space="0" w:color="auto"/>
        <w:right w:val="none" w:sz="0" w:space="0" w:color="auto"/>
      </w:divBdr>
    </w:div>
    <w:div w:id="337662459">
      <w:bodyDiv w:val="1"/>
      <w:marLeft w:val="0"/>
      <w:marRight w:val="0"/>
      <w:marTop w:val="0"/>
      <w:marBottom w:val="0"/>
      <w:divBdr>
        <w:top w:val="none" w:sz="0" w:space="0" w:color="auto"/>
        <w:left w:val="none" w:sz="0" w:space="0" w:color="auto"/>
        <w:bottom w:val="none" w:sz="0" w:space="0" w:color="auto"/>
        <w:right w:val="none" w:sz="0" w:space="0" w:color="auto"/>
      </w:divBdr>
    </w:div>
    <w:div w:id="341977792">
      <w:bodyDiv w:val="1"/>
      <w:marLeft w:val="0"/>
      <w:marRight w:val="0"/>
      <w:marTop w:val="0"/>
      <w:marBottom w:val="0"/>
      <w:divBdr>
        <w:top w:val="none" w:sz="0" w:space="0" w:color="auto"/>
        <w:left w:val="none" w:sz="0" w:space="0" w:color="auto"/>
        <w:bottom w:val="none" w:sz="0" w:space="0" w:color="auto"/>
        <w:right w:val="none" w:sz="0" w:space="0" w:color="auto"/>
      </w:divBdr>
    </w:div>
    <w:div w:id="345909472">
      <w:bodyDiv w:val="1"/>
      <w:marLeft w:val="0"/>
      <w:marRight w:val="0"/>
      <w:marTop w:val="0"/>
      <w:marBottom w:val="0"/>
      <w:divBdr>
        <w:top w:val="none" w:sz="0" w:space="0" w:color="auto"/>
        <w:left w:val="none" w:sz="0" w:space="0" w:color="auto"/>
        <w:bottom w:val="none" w:sz="0" w:space="0" w:color="auto"/>
        <w:right w:val="none" w:sz="0" w:space="0" w:color="auto"/>
      </w:divBdr>
    </w:div>
    <w:div w:id="348921150">
      <w:bodyDiv w:val="1"/>
      <w:marLeft w:val="0"/>
      <w:marRight w:val="0"/>
      <w:marTop w:val="0"/>
      <w:marBottom w:val="0"/>
      <w:divBdr>
        <w:top w:val="none" w:sz="0" w:space="0" w:color="auto"/>
        <w:left w:val="none" w:sz="0" w:space="0" w:color="auto"/>
        <w:bottom w:val="none" w:sz="0" w:space="0" w:color="auto"/>
        <w:right w:val="none" w:sz="0" w:space="0" w:color="auto"/>
      </w:divBdr>
    </w:div>
    <w:div w:id="365369946">
      <w:bodyDiv w:val="1"/>
      <w:marLeft w:val="0"/>
      <w:marRight w:val="0"/>
      <w:marTop w:val="0"/>
      <w:marBottom w:val="0"/>
      <w:divBdr>
        <w:top w:val="none" w:sz="0" w:space="0" w:color="auto"/>
        <w:left w:val="none" w:sz="0" w:space="0" w:color="auto"/>
        <w:bottom w:val="none" w:sz="0" w:space="0" w:color="auto"/>
        <w:right w:val="none" w:sz="0" w:space="0" w:color="auto"/>
      </w:divBdr>
    </w:div>
    <w:div w:id="417097082">
      <w:bodyDiv w:val="1"/>
      <w:marLeft w:val="0"/>
      <w:marRight w:val="0"/>
      <w:marTop w:val="0"/>
      <w:marBottom w:val="0"/>
      <w:divBdr>
        <w:top w:val="none" w:sz="0" w:space="0" w:color="auto"/>
        <w:left w:val="none" w:sz="0" w:space="0" w:color="auto"/>
        <w:bottom w:val="none" w:sz="0" w:space="0" w:color="auto"/>
        <w:right w:val="none" w:sz="0" w:space="0" w:color="auto"/>
      </w:divBdr>
    </w:div>
    <w:div w:id="432015954">
      <w:bodyDiv w:val="1"/>
      <w:marLeft w:val="0"/>
      <w:marRight w:val="0"/>
      <w:marTop w:val="0"/>
      <w:marBottom w:val="0"/>
      <w:divBdr>
        <w:top w:val="none" w:sz="0" w:space="0" w:color="auto"/>
        <w:left w:val="none" w:sz="0" w:space="0" w:color="auto"/>
        <w:bottom w:val="none" w:sz="0" w:space="0" w:color="auto"/>
        <w:right w:val="none" w:sz="0" w:space="0" w:color="auto"/>
      </w:divBdr>
    </w:div>
    <w:div w:id="453256328">
      <w:bodyDiv w:val="1"/>
      <w:marLeft w:val="0"/>
      <w:marRight w:val="0"/>
      <w:marTop w:val="0"/>
      <w:marBottom w:val="0"/>
      <w:divBdr>
        <w:top w:val="none" w:sz="0" w:space="0" w:color="auto"/>
        <w:left w:val="none" w:sz="0" w:space="0" w:color="auto"/>
        <w:bottom w:val="none" w:sz="0" w:space="0" w:color="auto"/>
        <w:right w:val="none" w:sz="0" w:space="0" w:color="auto"/>
      </w:divBdr>
    </w:div>
    <w:div w:id="512494503">
      <w:bodyDiv w:val="1"/>
      <w:marLeft w:val="0"/>
      <w:marRight w:val="0"/>
      <w:marTop w:val="0"/>
      <w:marBottom w:val="0"/>
      <w:divBdr>
        <w:top w:val="none" w:sz="0" w:space="0" w:color="auto"/>
        <w:left w:val="none" w:sz="0" w:space="0" w:color="auto"/>
        <w:bottom w:val="none" w:sz="0" w:space="0" w:color="auto"/>
        <w:right w:val="none" w:sz="0" w:space="0" w:color="auto"/>
      </w:divBdr>
    </w:div>
    <w:div w:id="521817545">
      <w:bodyDiv w:val="1"/>
      <w:marLeft w:val="0"/>
      <w:marRight w:val="0"/>
      <w:marTop w:val="0"/>
      <w:marBottom w:val="0"/>
      <w:divBdr>
        <w:top w:val="none" w:sz="0" w:space="0" w:color="auto"/>
        <w:left w:val="none" w:sz="0" w:space="0" w:color="auto"/>
        <w:bottom w:val="none" w:sz="0" w:space="0" w:color="auto"/>
        <w:right w:val="none" w:sz="0" w:space="0" w:color="auto"/>
      </w:divBdr>
    </w:div>
    <w:div w:id="534468339">
      <w:bodyDiv w:val="1"/>
      <w:marLeft w:val="0"/>
      <w:marRight w:val="0"/>
      <w:marTop w:val="0"/>
      <w:marBottom w:val="0"/>
      <w:divBdr>
        <w:top w:val="none" w:sz="0" w:space="0" w:color="auto"/>
        <w:left w:val="none" w:sz="0" w:space="0" w:color="auto"/>
        <w:bottom w:val="none" w:sz="0" w:space="0" w:color="auto"/>
        <w:right w:val="none" w:sz="0" w:space="0" w:color="auto"/>
      </w:divBdr>
    </w:div>
    <w:div w:id="572934850">
      <w:bodyDiv w:val="1"/>
      <w:marLeft w:val="0"/>
      <w:marRight w:val="0"/>
      <w:marTop w:val="0"/>
      <w:marBottom w:val="0"/>
      <w:divBdr>
        <w:top w:val="none" w:sz="0" w:space="0" w:color="auto"/>
        <w:left w:val="none" w:sz="0" w:space="0" w:color="auto"/>
        <w:bottom w:val="none" w:sz="0" w:space="0" w:color="auto"/>
        <w:right w:val="none" w:sz="0" w:space="0" w:color="auto"/>
      </w:divBdr>
    </w:div>
    <w:div w:id="578907566">
      <w:bodyDiv w:val="1"/>
      <w:marLeft w:val="0"/>
      <w:marRight w:val="0"/>
      <w:marTop w:val="0"/>
      <w:marBottom w:val="0"/>
      <w:divBdr>
        <w:top w:val="none" w:sz="0" w:space="0" w:color="auto"/>
        <w:left w:val="none" w:sz="0" w:space="0" w:color="auto"/>
        <w:bottom w:val="none" w:sz="0" w:space="0" w:color="auto"/>
        <w:right w:val="none" w:sz="0" w:space="0" w:color="auto"/>
      </w:divBdr>
    </w:div>
    <w:div w:id="620036715">
      <w:bodyDiv w:val="1"/>
      <w:marLeft w:val="0"/>
      <w:marRight w:val="0"/>
      <w:marTop w:val="0"/>
      <w:marBottom w:val="0"/>
      <w:divBdr>
        <w:top w:val="none" w:sz="0" w:space="0" w:color="auto"/>
        <w:left w:val="none" w:sz="0" w:space="0" w:color="auto"/>
        <w:bottom w:val="none" w:sz="0" w:space="0" w:color="auto"/>
        <w:right w:val="none" w:sz="0" w:space="0" w:color="auto"/>
      </w:divBdr>
    </w:div>
    <w:div w:id="634264233">
      <w:bodyDiv w:val="1"/>
      <w:marLeft w:val="0"/>
      <w:marRight w:val="0"/>
      <w:marTop w:val="0"/>
      <w:marBottom w:val="0"/>
      <w:divBdr>
        <w:top w:val="none" w:sz="0" w:space="0" w:color="auto"/>
        <w:left w:val="none" w:sz="0" w:space="0" w:color="auto"/>
        <w:bottom w:val="none" w:sz="0" w:space="0" w:color="auto"/>
        <w:right w:val="none" w:sz="0" w:space="0" w:color="auto"/>
      </w:divBdr>
    </w:div>
    <w:div w:id="638805576">
      <w:bodyDiv w:val="1"/>
      <w:marLeft w:val="0"/>
      <w:marRight w:val="0"/>
      <w:marTop w:val="0"/>
      <w:marBottom w:val="0"/>
      <w:divBdr>
        <w:top w:val="none" w:sz="0" w:space="0" w:color="auto"/>
        <w:left w:val="none" w:sz="0" w:space="0" w:color="auto"/>
        <w:bottom w:val="none" w:sz="0" w:space="0" w:color="auto"/>
        <w:right w:val="none" w:sz="0" w:space="0" w:color="auto"/>
      </w:divBdr>
    </w:div>
    <w:div w:id="679115736">
      <w:bodyDiv w:val="1"/>
      <w:marLeft w:val="0"/>
      <w:marRight w:val="0"/>
      <w:marTop w:val="0"/>
      <w:marBottom w:val="0"/>
      <w:divBdr>
        <w:top w:val="none" w:sz="0" w:space="0" w:color="auto"/>
        <w:left w:val="none" w:sz="0" w:space="0" w:color="auto"/>
        <w:bottom w:val="none" w:sz="0" w:space="0" w:color="auto"/>
        <w:right w:val="none" w:sz="0" w:space="0" w:color="auto"/>
      </w:divBdr>
    </w:div>
    <w:div w:id="705181206">
      <w:bodyDiv w:val="1"/>
      <w:marLeft w:val="0"/>
      <w:marRight w:val="0"/>
      <w:marTop w:val="0"/>
      <w:marBottom w:val="0"/>
      <w:divBdr>
        <w:top w:val="none" w:sz="0" w:space="0" w:color="auto"/>
        <w:left w:val="none" w:sz="0" w:space="0" w:color="auto"/>
        <w:bottom w:val="none" w:sz="0" w:space="0" w:color="auto"/>
        <w:right w:val="none" w:sz="0" w:space="0" w:color="auto"/>
      </w:divBdr>
    </w:div>
    <w:div w:id="719213572">
      <w:bodyDiv w:val="1"/>
      <w:marLeft w:val="0"/>
      <w:marRight w:val="0"/>
      <w:marTop w:val="0"/>
      <w:marBottom w:val="0"/>
      <w:divBdr>
        <w:top w:val="none" w:sz="0" w:space="0" w:color="auto"/>
        <w:left w:val="none" w:sz="0" w:space="0" w:color="auto"/>
        <w:bottom w:val="none" w:sz="0" w:space="0" w:color="auto"/>
        <w:right w:val="none" w:sz="0" w:space="0" w:color="auto"/>
      </w:divBdr>
    </w:div>
    <w:div w:id="731469774">
      <w:bodyDiv w:val="1"/>
      <w:marLeft w:val="0"/>
      <w:marRight w:val="0"/>
      <w:marTop w:val="0"/>
      <w:marBottom w:val="0"/>
      <w:divBdr>
        <w:top w:val="none" w:sz="0" w:space="0" w:color="auto"/>
        <w:left w:val="none" w:sz="0" w:space="0" w:color="auto"/>
        <w:bottom w:val="none" w:sz="0" w:space="0" w:color="auto"/>
        <w:right w:val="none" w:sz="0" w:space="0" w:color="auto"/>
      </w:divBdr>
    </w:div>
    <w:div w:id="732235328">
      <w:bodyDiv w:val="1"/>
      <w:marLeft w:val="0"/>
      <w:marRight w:val="0"/>
      <w:marTop w:val="0"/>
      <w:marBottom w:val="0"/>
      <w:divBdr>
        <w:top w:val="none" w:sz="0" w:space="0" w:color="auto"/>
        <w:left w:val="none" w:sz="0" w:space="0" w:color="auto"/>
        <w:bottom w:val="none" w:sz="0" w:space="0" w:color="auto"/>
        <w:right w:val="none" w:sz="0" w:space="0" w:color="auto"/>
      </w:divBdr>
    </w:div>
    <w:div w:id="733431954">
      <w:bodyDiv w:val="1"/>
      <w:marLeft w:val="0"/>
      <w:marRight w:val="0"/>
      <w:marTop w:val="0"/>
      <w:marBottom w:val="0"/>
      <w:divBdr>
        <w:top w:val="none" w:sz="0" w:space="0" w:color="auto"/>
        <w:left w:val="none" w:sz="0" w:space="0" w:color="auto"/>
        <w:bottom w:val="none" w:sz="0" w:space="0" w:color="auto"/>
        <w:right w:val="none" w:sz="0" w:space="0" w:color="auto"/>
      </w:divBdr>
    </w:div>
    <w:div w:id="739905843">
      <w:bodyDiv w:val="1"/>
      <w:marLeft w:val="0"/>
      <w:marRight w:val="0"/>
      <w:marTop w:val="0"/>
      <w:marBottom w:val="0"/>
      <w:divBdr>
        <w:top w:val="none" w:sz="0" w:space="0" w:color="auto"/>
        <w:left w:val="none" w:sz="0" w:space="0" w:color="auto"/>
        <w:bottom w:val="none" w:sz="0" w:space="0" w:color="auto"/>
        <w:right w:val="none" w:sz="0" w:space="0" w:color="auto"/>
      </w:divBdr>
    </w:div>
    <w:div w:id="750080244">
      <w:bodyDiv w:val="1"/>
      <w:marLeft w:val="0"/>
      <w:marRight w:val="0"/>
      <w:marTop w:val="0"/>
      <w:marBottom w:val="0"/>
      <w:divBdr>
        <w:top w:val="none" w:sz="0" w:space="0" w:color="auto"/>
        <w:left w:val="none" w:sz="0" w:space="0" w:color="auto"/>
        <w:bottom w:val="none" w:sz="0" w:space="0" w:color="auto"/>
        <w:right w:val="none" w:sz="0" w:space="0" w:color="auto"/>
      </w:divBdr>
    </w:div>
    <w:div w:id="761878057">
      <w:bodyDiv w:val="1"/>
      <w:marLeft w:val="0"/>
      <w:marRight w:val="0"/>
      <w:marTop w:val="0"/>
      <w:marBottom w:val="0"/>
      <w:divBdr>
        <w:top w:val="none" w:sz="0" w:space="0" w:color="auto"/>
        <w:left w:val="none" w:sz="0" w:space="0" w:color="auto"/>
        <w:bottom w:val="none" w:sz="0" w:space="0" w:color="auto"/>
        <w:right w:val="none" w:sz="0" w:space="0" w:color="auto"/>
      </w:divBdr>
    </w:div>
    <w:div w:id="773985445">
      <w:bodyDiv w:val="1"/>
      <w:marLeft w:val="0"/>
      <w:marRight w:val="0"/>
      <w:marTop w:val="0"/>
      <w:marBottom w:val="0"/>
      <w:divBdr>
        <w:top w:val="none" w:sz="0" w:space="0" w:color="auto"/>
        <w:left w:val="none" w:sz="0" w:space="0" w:color="auto"/>
        <w:bottom w:val="none" w:sz="0" w:space="0" w:color="auto"/>
        <w:right w:val="none" w:sz="0" w:space="0" w:color="auto"/>
      </w:divBdr>
    </w:div>
    <w:div w:id="870806675">
      <w:bodyDiv w:val="1"/>
      <w:marLeft w:val="0"/>
      <w:marRight w:val="0"/>
      <w:marTop w:val="0"/>
      <w:marBottom w:val="0"/>
      <w:divBdr>
        <w:top w:val="none" w:sz="0" w:space="0" w:color="auto"/>
        <w:left w:val="none" w:sz="0" w:space="0" w:color="auto"/>
        <w:bottom w:val="none" w:sz="0" w:space="0" w:color="auto"/>
        <w:right w:val="none" w:sz="0" w:space="0" w:color="auto"/>
      </w:divBdr>
    </w:div>
    <w:div w:id="879515617">
      <w:bodyDiv w:val="1"/>
      <w:marLeft w:val="0"/>
      <w:marRight w:val="0"/>
      <w:marTop w:val="0"/>
      <w:marBottom w:val="0"/>
      <w:divBdr>
        <w:top w:val="none" w:sz="0" w:space="0" w:color="auto"/>
        <w:left w:val="none" w:sz="0" w:space="0" w:color="auto"/>
        <w:bottom w:val="none" w:sz="0" w:space="0" w:color="auto"/>
        <w:right w:val="none" w:sz="0" w:space="0" w:color="auto"/>
      </w:divBdr>
    </w:div>
    <w:div w:id="897059448">
      <w:bodyDiv w:val="1"/>
      <w:marLeft w:val="0"/>
      <w:marRight w:val="0"/>
      <w:marTop w:val="0"/>
      <w:marBottom w:val="0"/>
      <w:divBdr>
        <w:top w:val="none" w:sz="0" w:space="0" w:color="auto"/>
        <w:left w:val="none" w:sz="0" w:space="0" w:color="auto"/>
        <w:bottom w:val="none" w:sz="0" w:space="0" w:color="auto"/>
        <w:right w:val="none" w:sz="0" w:space="0" w:color="auto"/>
      </w:divBdr>
    </w:div>
    <w:div w:id="908658426">
      <w:bodyDiv w:val="1"/>
      <w:marLeft w:val="0"/>
      <w:marRight w:val="0"/>
      <w:marTop w:val="0"/>
      <w:marBottom w:val="0"/>
      <w:divBdr>
        <w:top w:val="none" w:sz="0" w:space="0" w:color="auto"/>
        <w:left w:val="none" w:sz="0" w:space="0" w:color="auto"/>
        <w:bottom w:val="none" w:sz="0" w:space="0" w:color="auto"/>
        <w:right w:val="none" w:sz="0" w:space="0" w:color="auto"/>
      </w:divBdr>
    </w:div>
    <w:div w:id="920068017">
      <w:bodyDiv w:val="1"/>
      <w:marLeft w:val="0"/>
      <w:marRight w:val="0"/>
      <w:marTop w:val="0"/>
      <w:marBottom w:val="0"/>
      <w:divBdr>
        <w:top w:val="none" w:sz="0" w:space="0" w:color="auto"/>
        <w:left w:val="none" w:sz="0" w:space="0" w:color="auto"/>
        <w:bottom w:val="none" w:sz="0" w:space="0" w:color="auto"/>
        <w:right w:val="none" w:sz="0" w:space="0" w:color="auto"/>
      </w:divBdr>
      <w:divsChild>
        <w:div w:id="2009401799">
          <w:marLeft w:val="360"/>
          <w:marRight w:val="0"/>
          <w:marTop w:val="0"/>
          <w:marBottom w:val="0"/>
          <w:divBdr>
            <w:top w:val="none" w:sz="0" w:space="0" w:color="auto"/>
            <w:left w:val="none" w:sz="0" w:space="0" w:color="auto"/>
            <w:bottom w:val="none" w:sz="0" w:space="0" w:color="auto"/>
            <w:right w:val="none" w:sz="0" w:space="0" w:color="auto"/>
          </w:divBdr>
        </w:div>
        <w:div w:id="679165286">
          <w:marLeft w:val="360"/>
          <w:marRight w:val="0"/>
          <w:marTop w:val="0"/>
          <w:marBottom w:val="0"/>
          <w:divBdr>
            <w:top w:val="none" w:sz="0" w:space="0" w:color="auto"/>
            <w:left w:val="none" w:sz="0" w:space="0" w:color="auto"/>
            <w:bottom w:val="none" w:sz="0" w:space="0" w:color="auto"/>
            <w:right w:val="none" w:sz="0" w:space="0" w:color="auto"/>
          </w:divBdr>
        </w:div>
        <w:div w:id="572548284">
          <w:marLeft w:val="360"/>
          <w:marRight w:val="0"/>
          <w:marTop w:val="0"/>
          <w:marBottom w:val="0"/>
          <w:divBdr>
            <w:top w:val="none" w:sz="0" w:space="0" w:color="auto"/>
            <w:left w:val="none" w:sz="0" w:space="0" w:color="auto"/>
            <w:bottom w:val="none" w:sz="0" w:space="0" w:color="auto"/>
            <w:right w:val="none" w:sz="0" w:space="0" w:color="auto"/>
          </w:divBdr>
        </w:div>
      </w:divsChild>
    </w:div>
    <w:div w:id="953441677">
      <w:bodyDiv w:val="1"/>
      <w:marLeft w:val="0"/>
      <w:marRight w:val="0"/>
      <w:marTop w:val="0"/>
      <w:marBottom w:val="0"/>
      <w:divBdr>
        <w:top w:val="none" w:sz="0" w:space="0" w:color="auto"/>
        <w:left w:val="none" w:sz="0" w:space="0" w:color="auto"/>
        <w:bottom w:val="none" w:sz="0" w:space="0" w:color="auto"/>
        <w:right w:val="none" w:sz="0" w:space="0" w:color="auto"/>
      </w:divBdr>
    </w:div>
    <w:div w:id="1000814550">
      <w:bodyDiv w:val="1"/>
      <w:marLeft w:val="0"/>
      <w:marRight w:val="0"/>
      <w:marTop w:val="0"/>
      <w:marBottom w:val="0"/>
      <w:divBdr>
        <w:top w:val="none" w:sz="0" w:space="0" w:color="auto"/>
        <w:left w:val="none" w:sz="0" w:space="0" w:color="auto"/>
        <w:bottom w:val="none" w:sz="0" w:space="0" w:color="auto"/>
        <w:right w:val="none" w:sz="0" w:space="0" w:color="auto"/>
      </w:divBdr>
    </w:div>
    <w:div w:id="1055084508">
      <w:bodyDiv w:val="1"/>
      <w:marLeft w:val="0"/>
      <w:marRight w:val="0"/>
      <w:marTop w:val="0"/>
      <w:marBottom w:val="0"/>
      <w:divBdr>
        <w:top w:val="none" w:sz="0" w:space="0" w:color="auto"/>
        <w:left w:val="none" w:sz="0" w:space="0" w:color="auto"/>
        <w:bottom w:val="none" w:sz="0" w:space="0" w:color="auto"/>
        <w:right w:val="none" w:sz="0" w:space="0" w:color="auto"/>
      </w:divBdr>
      <w:divsChild>
        <w:div w:id="701784479">
          <w:marLeft w:val="0"/>
          <w:marRight w:val="0"/>
          <w:marTop w:val="0"/>
          <w:marBottom w:val="0"/>
          <w:divBdr>
            <w:top w:val="none" w:sz="0" w:space="0" w:color="auto"/>
            <w:left w:val="none" w:sz="0" w:space="0" w:color="auto"/>
            <w:bottom w:val="none" w:sz="0" w:space="0" w:color="auto"/>
            <w:right w:val="none" w:sz="0" w:space="0" w:color="auto"/>
          </w:divBdr>
          <w:divsChild>
            <w:div w:id="87222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136019">
      <w:bodyDiv w:val="1"/>
      <w:marLeft w:val="0"/>
      <w:marRight w:val="0"/>
      <w:marTop w:val="0"/>
      <w:marBottom w:val="0"/>
      <w:divBdr>
        <w:top w:val="none" w:sz="0" w:space="0" w:color="auto"/>
        <w:left w:val="none" w:sz="0" w:space="0" w:color="auto"/>
        <w:bottom w:val="none" w:sz="0" w:space="0" w:color="auto"/>
        <w:right w:val="none" w:sz="0" w:space="0" w:color="auto"/>
      </w:divBdr>
    </w:div>
    <w:div w:id="1093431740">
      <w:bodyDiv w:val="1"/>
      <w:marLeft w:val="0"/>
      <w:marRight w:val="0"/>
      <w:marTop w:val="0"/>
      <w:marBottom w:val="0"/>
      <w:divBdr>
        <w:top w:val="none" w:sz="0" w:space="0" w:color="auto"/>
        <w:left w:val="none" w:sz="0" w:space="0" w:color="auto"/>
        <w:bottom w:val="none" w:sz="0" w:space="0" w:color="auto"/>
        <w:right w:val="none" w:sz="0" w:space="0" w:color="auto"/>
      </w:divBdr>
    </w:div>
    <w:div w:id="1155337001">
      <w:bodyDiv w:val="1"/>
      <w:marLeft w:val="0"/>
      <w:marRight w:val="0"/>
      <w:marTop w:val="0"/>
      <w:marBottom w:val="0"/>
      <w:divBdr>
        <w:top w:val="none" w:sz="0" w:space="0" w:color="auto"/>
        <w:left w:val="none" w:sz="0" w:space="0" w:color="auto"/>
        <w:bottom w:val="none" w:sz="0" w:space="0" w:color="auto"/>
        <w:right w:val="none" w:sz="0" w:space="0" w:color="auto"/>
      </w:divBdr>
    </w:div>
    <w:div w:id="1181045323">
      <w:bodyDiv w:val="1"/>
      <w:marLeft w:val="0"/>
      <w:marRight w:val="0"/>
      <w:marTop w:val="0"/>
      <w:marBottom w:val="0"/>
      <w:divBdr>
        <w:top w:val="none" w:sz="0" w:space="0" w:color="auto"/>
        <w:left w:val="none" w:sz="0" w:space="0" w:color="auto"/>
        <w:bottom w:val="none" w:sz="0" w:space="0" w:color="auto"/>
        <w:right w:val="none" w:sz="0" w:space="0" w:color="auto"/>
      </w:divBdr>
    </w:div>
    <w:div w:id="1181436561">
      <w:bodyDiv w:val="1"/>
      <w:marLeft w:val="0"/>
      <w:marRight w:val="0"/>
      <w:marTop w:val="0"/>
      <w:marBottom w:val="0"/>
      <w:divBdr>
        <w:top w:val="none" w:sz="0" w:space="0" w:color="auto"/>
        <w:left w:val="none" w:sz="0" w:space="0" w:color="auto"/>
        <w:bottom w:val="none" w:sz="0" w:space="0" w:color="auto"/>
        <w:right w:val="none" w:sz="0" w:space="0" w:color="auto"/>
      </w:divBdr>
    </w:div>
    <w:div w:id="1214122511">
      <w:bodyDiv w:val="1"/>
      <w:marLeft w:val="0"/>
      <w:marRight w:val="0"/>
      <w:marTop w:val="0"/>
      <w:marBottom w:val="0"/>
      <w:divBdr>
        <w:top w:val="none" w:sz="0" w:space="0" w:color="auto"/>
        <w:left w:val="none" w:sz="0" w:space="0" w:color="auto"/>
        <w:bottom w:val="none" w:sz="0" w:space="0" w:color="auto"/>
        <w:right w:val="none" w:sz="0" w:space="0" w:color="auto"/>
      </w:divBdr>
    </w:div>
    <w:div w:id="1238519746">
      <w:bodyDiv w:val="1"/>
      <w:marLeft w:val="0"/>
      <w:marRight w:val="0"/>
      <w:marTop w:val="0"/>
      <w:marBottom w:val="0"/>
      <w:divBdr>
        <w:top w:val="none" w:sz="0" w:space="0" w:color="auto"/>
        <w:left w:val="none" w:sz="0" w:space="0" w:color="auto"/>
        <w:bottom w:val="none" w:sz="0" w:space="0" w:color="auto"/>
        <w:right w:val="none" w:sz="0" w:space="0" w:color="auto"/>
      </w:divBdr>
    </w:div>
    <w:div w:id="1249968159">
      <w:bodyDiv w:val="1"/>
      <w:marLeft w:val="0"/>
      <w:marRight w:val="0"/>
      <w:marTop w:val="0"/>
      <w:marBottom w:val="0"/>
      <w:divBdr>
        <w:top w:val="none" w:sz="0" w:space="0" w:color="auto"/>
        <w:left w:val="none" w:sz="0" w:space="0" w:color="auto"/>
        <w:bottom w:val="none" w:sz="0" w:space="0" w:color="auto"/>
        <w:right w:val="none" w:sz="0" w:space="0" w:color="auto"/>
      </w:divBdr>
    </w:div>
    <w:div w:id="1270775282">
      <w:bodyDiv w:val="1"/>
      <w:marLeft w:val="0"/>
      <w:marRight w:val="0"/>
      <w:marTop w:val="0"/>
      <w:marBottom w:val="0"/>
      <w:divBdr>
        <w:top w:val="none" w:sz="0" w:space="0" w:color="auto"/>
        <w:left w:val="none" w:sz="0" w:space="0" w:color="auto"/>
        <w:bottom w:val="none" w:sz="0" w:space="0" w:color="auto"/>
        <w:right w:val="none" w:sz="0" w:space="0" w:color="auto"/>
      </w:divBdr>
    </w:div>
    <w:div w:id="1276907143">
      <w:bodyDiv w:val="1"/>
      <w:marLeft w:val="0"/>
      <w:marRight w:val="0"/>
      <w:marTop w:val="0"/>
      <w:marBottom w:val="0"/>
      <w:divBdr>
        <w:top w:val="none" w:sz="0" w:space="0" w:color="auto"/>
        <w:left w:val="none" w:sz="0" w:space="0" w:color="auto"/>
        <w:bottom w:val="none" w:sz="0" w:space="0" w:color="auto"/>
        <w:right w:val="none" w:sz="0" w:space="0" w:color="auto"/>
      </w:divBdr>
    </w:div>
    <w:div w:id="1349940544">
      <w:bodyDiv w:val="1"/>
      <w:marLeft w:val="0"/>
      <w:marRight w:val="0"/>
      <w:marTop w:val="0"/>
      <w:marBottom w:val="0"/>
      <w:divBdr>
        <w:top w:val="none" w:sz="0" w:space="0" w:color="auto"/>
        <w:left w:val="none" w:sz="0" w:space="0" w:color="auto"/>
        <w:bottom w:val="none" w:sz="0" w:space="0" w:color="auto"/>
        <w:right w:val="none" w:sz="0" w:space="0" w:color="auto"/>
      </w:divBdr>
    </w:div>
    <w:div w:id="1397900596">
      <w:bodyDiv w:val="1"/>
      <w:marLeft w:val="0"/>
      <w:marRight w:val="0"/>
      <w:marTop w:val="0"/>
      <w:marBottom w:val="0"/>
      <w:divBdr>
        <w:top w:val="none" w:sz="0" w:space="0" w:color="auto"/>
        <w:left w:val="none" w:sz="0" w:space="0" w:color="auto"/>
        <w:bottom w:val="none" w:sz="0" w:space="0" w:color="auto"/>
        <w:right w:val="none" w:sz="0" w:space="0" w:color="auto"/>
      </w:divBdr>
    </w:div>
    <w:div w:id="1402174038">
      <w:bodyDiv w:val="1"/>
      <w:marLeft w:val="0"/>
      <w:marRight w:val="0"/>
      <w:marTop w:val="0"/>
      <w:marBottom w:val="0"/>
      <w:divBdr>
        <w:top w:val="none" w:sz="0" w:space="0" w:color="auto"/>
        <w:left w:val="none" w:sz="0" w:space="0" w:color="auto"/>
        <w:bottom w:val="none" w:sz="0" w:space="0" w:color="auto"/>
        <w:right w:val="none" w:sz="0" w:space="0" w:color="auto"/>
      </w:divBdr>
    </w:div>
    <w:div w:id="1404134520">
      <w:bodyDiv w:val="1"/>
      <w:marLeft w:val="0"/>
      <w:marRight w:val="0"/>
      <w:marTop w:val="0"/>
      <w:marBottom w:val="0"/>
      <w:divBdr>
        <w:top w:val="none" w:sz="0" w:space="0" w:color="auto"/>
        <w:left w:val="none" w:sz="0" w:space="0" w:color="auto"/>
        <w:bottom w:val="none" w:sz="0" w:space="0" w:color="auto"/>
        <w:right w:val="none" w:sz="0" w:space="0" w:color="auto"/>
      </w:divBdr>
    </w:div>
    <w:div w:id="1434744664">
      <w:bodyDiv w:val="1"/>
      <w:marLeft w:val="0"/>
      <w:marRight w:val="0"/>
      <w:marTop w:val="0"/>
      <w:marBottom w:val="0"/>
      <w:divBdr>
        <w:top w:val="none" w:sz="0" w:space="0" w:color="auto"/>
        <w:left w:val="none" w:sz="0" w:space="0" w:color="auto"/>
        <w:bottom w:val="none" w:sz="0" w:space="0" w:color="auto"/>
        <w:right w:val="none" w:sz="0" w:space="0" w:color="auto"/>
      </w:divBdr>
    </w:div>
    <w:div w:id="1480071277">
      <w:bodyDiv w:val="1"/>
      <w:marLeft w:val="0"/>
      <w:marRight w:val="0"/>
      <w:marTop w:val="0"/>
      <w:marBottom w:val="0"/>
      <w:divBdr>
        <w:top w:val="none" w:sz="0" w:space="0" w:color="auto"/>
        <w:left w:val="none" w:sz="0" w:space="0" w:color="auto"/>
        <w:bottom w:val="none" w:sz="0" w:space="0" w:color="auto"/>
        <w:right w:val="none" w:sz="0" w:space="0" w:color="auto"/>
      </w:divBdr>
    </w:div>
    <w:div w:id="1481575041">
      <w:bodyDiv w:val="1"/>
      <w:marLeft w:val="0"/>
      <w:marRight w:val="0"/>
      <w:marTop w:val="0"/>
      <w:marBottom w:val="0"/>
      <w:divBdr>
        <w:top w:val="none" w:sz="0" w:space="0" w:color="auto"/>
        <w:left w:val="none" w:sz="0" w:space="0" w:color="auto"/>
        <w:bottom w:val="none" w:sz="0" w:space="0" w:color="auto"/>
        <w:right w:val="none" w:sz="0" w:space="0" w:color="auto"/>
      </w:divBdr>
    </w:div>
    <w:div w:id="1498382089">
      <w:bodyDiv w:val="1"/>
      <w:marLeft w:val="0"/>
      <w:marRight w:val="0"/>
      <w:marTop w:val="0"/>
      <w:marBottom w:val="0"/>
      <w:divBdr>
        <w:top w:val="none" w:sz="0" w:space="0" w:color="auto"/>
        <w:left w:val="none" w:sz="0" w:space="0" w:color="auto"/>
        <w:bottom w:val="none" w:sz="0" w:space="0" w:color="auto"/>
        <w:right w:val="none" w:sz="0" w:space="0" w:color="auto"/>
      </w:divBdr>
    </w:div>
    <w:div w:id="1562447201">
      <w:bodyDiv w:val="1"/>
      <w:marLeft w:val="0"/>
      <w:marRight w:val="0"/>
      <w:marTop w:val="0"/>
      <w:marBottom w:val="0"/>
      <w:divBdr>
        <w:top w:val="none" w:sz="0" w:space="0" w:color="auto"/>
        <w:left w:val="none" w:sz="0" w:space="0" w:color="auto"/>
        <w:bottom w:val="none" w:sz="0" w:space="0" w:color="auto"/>
        <w:right w:val="none" w:sz="0" w:space="0" w:color="auto"/>
      </w:divBdr>
    </w:div>
    <w:div w:id="1579559396">
      <w:bodyDiv w:val="1"/>
      <w:marLeft w:val="0"/>
      <w:marRight w:val="0"/>
      <w:marTop w:val="0"/>
      <w:marBottom w:val="0"/>
      <w:divBdr>
        <w:top w:val="none" w:sz="0" w:space="0" w:color="auto"/>
        <w:left w:val="none" w:sz="0" w:space="0" w:color="auto"/>
        <w:bottom w:val="none" w:sz="0" w:space="0" w:color="auto"/>
        <w:right w:val="none" w:sz="0" w:space="0" w:color="auto"/>
      </w:divBdr>
    </w:div>
    <w:div w:id="1596130163">
      <w:bodyDiv w:val="1"/>
      <w:marLeft w:val="0"/>
      <w:marRight w:val="0"/>
      <w:marTop w:val="0"/>
      <w:marBottom w:val="0"/>
      <w:divBdr>
        <w:top w:val="none" w:sz="0" w:space="0" w:color="auto"/>
        <w:left w:val="none" w:sz="0" w:space="0" w:color="auto"/>
        <w:bottom w:val="none" w:sz="0" w:space="0" w:color="auto"/>
        <w:right w:val="none" w:sz="0" w:space="0" w:color="auto"/>
      </w:divBdr>
    </w:div>
    <w:div w:id="1681545169">
      <w:bodyDiv w:val="1"/>
      <w:marLeft w:val="0"/>
      <w:marRight w:val="0"/>
      <w:marTop w:val="0"/>
      <w:marBottom w:val="0"/>
      <w:divBdr>
        <w:top w:val="none" w:sz="0" w:space="0" w:color="auto"/>
        <w:left w:val="none" w:sz="0" w:space="0" w:color="auto"/>
        <w:bottom w:val="none" w:sz="0" w:space="0" w:color="auto"/>
        <w:right w:val="none" w:sz="0" w:space="0" w:color="auto"/>
      </w:divBdr>
    </w:div>
    <w:div w:id="1692873092">
      <w:bodyDiv w:val="1"/>
      <w:marLeft w:val="0"/>
      <w:marRight w:val="0"/>
      <w:marTop w:val="0"/>
      <w:marBottom w:val="0"/>
      <w:divBdr>
        <w:top w:val="none" w:sz="0" w:space="0" w:color="auto"/>
        <w:left w:val="none" w:sz="0" w:space="0" w:color="auto"/>
        <w:bottom w:val="none" w:sz="0" w:space="0" w:color="auto"/>
        <w:right w:val="none" w:sz="0" w:space="0" w:color="auto"/>
      </w:divBdr>
    </w:div>
    <w:div w:id="1717971289">
      <w:bodyDiv w:val="1"/>
      <w:marLeft w:val="0"/>
      <w:marRight w:val="0"/>
      <w:marTop w:val="0"/>
      <w:marBottom w:val="0"/>
      <w:divBdr>
        <w:top w:val="none" w:sz="0" w:space="0" w:color="auto"/>
        <w:left w:val="none" w:sz="0" w:space="0" w:color="auto"/>
        <w:bottom w:val="none" w:sz="0" w:space="0" w:color="auto"/>
        <w:right w:val="none" w:sz="0" w:space="0" w:color="auto"/>
      </w:divBdr>
    </w:div>
    <w:div w:id="1740248806">
      <w:bodyDiv w:val="1"/>
      <w:marLeft w:val="0"/>
      <w:marRight w:val="0"/>
      <w:marTop w:val="0"/>
      <w:marBottom w:val="0"/>
      <w:divBdr>
        <w:top w:val="none" w:sz="0" w:space="0" w:color="auto"/>
        <w:left w:val="none" w:sz="0" w:space="0" w:color="auto"/>
        <w:bottom w:val="none" w:sz="0" w:space="0" w:color="auto"/>
        <w:right w:val="none" w:sz="0" w:space="0" w:color="auto"/>
      </w:divBdr>
    </w:div>
    <w:div w:id="1747997304">
      <w:bodyDiv w:val="1"/>
      <w:marLeft w:val="0"/>
      <w:marRight w:val="0"/>
      <w:marTop w:val="0"/>
      <w:marBottom w:val="0"/>
      <w:divBdr>
        <w:top w:val="none" w:sz="0" w:space="0" w:color="auto"/>
        <w:left w:val="none" w:sz="0" w:space="0" w:color="auto"/>
        <w:bottom w:val="none" w:sz="0" w:space="0" w:color="auto"/>
        <w:right w:val="none" w:sz="0" w:space="0" w:color="auto"/>
      </w:divBdr>
    </w:div>
    <w:div w:id="1777823183">
      <w:bodyDiv w:val="1"/>
      <w:marLeft w:val="0"/>
      <w:marRight w:val="0"/>
      <w:marTop w:val="0"/>
      <w:marBottom w:val="0"/>
      <w:divBdr>
        <w:top w:val="none" w:sz="0" w:space="0" w:color="auto"/>
        <w:left w:val="none" w:sz="0" w:space="0" w:color="auto"/>
        <w:bottom w:val="none" w:sz="0" w:space="0" w:color="auto"/>
        <w:right w:val="none" w:sz="0" w:space="0" w:color="auto"/>
      </w:divBdr>
    </w:div>
    <w:div w:id="1820146027">
      <w:bodyDiv w:val="1"/>
      <w:marLeft w:val="0"/>
      <w:marRight w:val="0"/>
      <w:marTop w:val="0"/>
      <w:marBottom w:val="0"/>
      <w:divBdr>
        <w:top w:val="none" w:sz="0" w:space="0" w:color="auto"/>
        <w:left w:val="none" w:sz="0" w:space="0" w:color="auto"/>
        <w:bottom w:val="none" w:sz="0" w:space="0" w:color="auto"/>
        <w:right w:val="none" w:sz="0" w:space="0" w:color="auto"/>
      </w:divBdr>
    </w:div>
    <w:div w:id="1846238090">
      <w:bodyDiv w:val="1"/>
      <w:marLeft w:val="0"/>
      <w:marRight w:val="0"/>
      <w:marTop w:val="0"/>
      <w:marBottom w:val="0"/>
      <w:divBdr>
        <w:top w:val="none" w:sz="0" w:space="0" w:color="auto"/>
        <w:left w:val="none" w:sz="0" w:space="0" w:color="auto"/>
        <w:bottom w:val="none" w:sz="0" w:space="0" w:color="auto"/>
        <w:right w:val="none" w:sz="0" w:space="0" w:color="auto"/>
      </w:divBdr>
    </w:div>
    <w:div w:id="1860729678">
      <w:bodyDiv w:val="1"/>
      <w:marLeft w:val="0"/>
      <w:marRight w:val="0"/>
      <w:marTop w:val="0"/>
      <w:marBottom w:val="0"/>
      <w:divBdr>
        <w:top w:val="none" w:sz="0" w:space="0" w:color="auto"/>
        <w:left w:val="none" w:sz="0" w:space="0" w:color="auto"/>
        <w:bottom w:val="none" w:sz="0" w:space="0" w:color="auto"/>
        <w:right w:val="none" w:sz="0" w:space="0" w:color="auto"/>
      </w:divBdr>
    </w:div>
    <w:div w:id="1915966827">
      <w:bodyDiv w:val="1"/>
      <w:marLeft w:val="0"/>
      <w:marRight w:val="0"/>
      <w:marTop w:val="0"/>
      <w:marBottom w:val="0"/>
      <w:divBdr>
        <w:top w:val="none" w:sz="0" w:space="0" w:color="auto"/>
        <w:left w:val="none" w:sz="0" w:space="0" w:color="auto"/>
        <w:bottom w:val="none" w:sz="0" w:space="0" w:color="auto"/>
        <w:right w:val="none" w:sz="0" w:space="0" w:color="auto"/>
      </w:divBdr>
      <w:divsChild>
        <w:div w:id="1635134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4656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2131101">
      <w:bodyDiv w:val="1"/>
      <w:marLeft w:val="0"/>
      <w:marRight w:val="0"/>
      <w:marTop w:val="0"/>
      <w:marBottom w:val="0"/>
      <w:divBdr>
        <w:top w:val="none" w:sz="0" w:space="0" w:color="auto"/>
        <w:left w:val="none" w:sz="0" w:space="0" w:color="auto"/>
        <w:bottom w:val="none" w:sz="0" w:space="0" w:color="auto"/>
        <w:right w:val="none" w:sz="0" w:space="0" w:color="auto"/>
      </w:divBdr>
    </w:div>
    <w:div w:id="1969119537">
      <w:bodyDiv w:val="1"/>
      <w:marLeft w:val="0"/>
      <w:marRight w:val="0"/>
      <w:marTop w:val="0"/>
      <w:marBottom w:val="0"/>
      <w:divBdr>
        <w:top w:val="none" w:sz="0" w:space="0" w:color="auto"/>
        <w:left w:val="none" w:sz="0" w:space="0" w:color="auto"/>
        <w:bottom w:val="none" w:sz="0" w:space="0" w:color="auto"/>
        <w:right w:val="none" w:sz="0" w:space="0" w:color="auto"/>
      </w:divBdr>
    </w:div>
    <w:div w:id="1982153758">
      <w:bodyDiv w:val="1"/>
      <w:marLeft w:val="0"/>
      <w:marRight w:val="0"/>
      <w:marTop w:val="0"/>
      <w:marBottom w:val="0"/>
      <w:divBdr>
        <w:top w:val="none" w:sz="0" w:space="0" w:color="auto"/>
        <w:left w:val="none" w:sz="0" w:space="0" w:color="auto"/>
        <w:bottom w:val="none" w:sz="0" w:space="0" w:color="auto"/>
        <w:right w:val="none" w:sz="0" w:space="0" w:color="auto"/>
      </w:divBdr>
    </w:div>
    <w:div w:id="1999455129">
      <w:bodyDiv w:val="1"/>
      <w:marLeft w:val="0"/>
      <w:marRight w:val="0"/>
      <w:marTop w:val="0"/>
      <w:marBottom w:val="0"/>
      <w:divBdr>
        <w:top w:val="none" w:sz="0" w:space="0" w:color="auto"/>
        <w:left w:val="none" w:sz="0" w:space="0" w:color="auto"/>
        <w:bottom w:val="none" w:sz="0" w:space="0" w:color="auto"/>
        <w:right w:val="none" w:sz="0" w:space="0" w:color="auto"/>
      </w:divBdr>
    </w:div>
    <w:div w:id="2017345409">
      <w:bodyDiv w:val="1"/>
      <w:marLeft w:val="0"/>
      <w:marRight w:val="0"/>
      <w:marTop w:val="0"/>
      <w:marBottom w:val="0"/>
      <w:divBdr>
        <w:top w:val="none" w:sz="0" w:space="0" w:color="auto"/>
        <w:left w:val="none" w:sz="0" w:space="0" w:color="auto"/>
        <w:bottom w:val="none" w:sz="0" w:space="0" w:color="auto"/>
        <w:right w:val="none" w:sz="0" w:space="0" w:color="auto"/>
      </w:divBdr>
    </w:div>
    <w:div w:id="2019962044">
      <w:bodyDiv w:val="1"/>
      <w:marLeft w:val="0"/>
      <w:marRight w:val="0"/>
      <w:marTop w:val="0"/>
      <w:marBottom w:val="0"/>
      <w:divBdr>
        <w:top w:val="none" w:sz="0" w:space="0" w:color="auto"/>
        <w:left w:val="none" w:sz="0" w:space="0" w:color="auto"/>
        <w:bottom w:val="none" w:sz="0" w:space="0" w:color="auto"/>
        <w:right w:val="none" w:sz="0" w:space="0" w:color="auto"/>
      </w:divBdr>
    </w:div>
    <w:div w:id="2039771778">
      <w:bodyDiv w:val="1"/>
      <w:marLeft w:val="0"/>
      <w:marRight w:val="0"/>
      <w:marTop w:val="0"/>
      <w:marBottom w:val="0"/>
      <w:divBdr>
        <w:top w:val="none" w:sz="0" w:space="0" w:color="auto"/>
        <w:left w:val="none" w:sz="0" w:space="0" w:color="auto"/>
        <w:bottom w:val="none" w:sz="0" w:space="0" w:color="auto"/>
        <w:right w:val="none" w:sz="0" w:space="0" w:color="auto"/>
      </w:divBdr>
    </w:div>
    <w:div w:id="2059625838">
      <w:bodyDiv w:val="1"/>
      <w:marLeft w:val="0"/>
      <w:marRight w:val="0"/>
      <w:marTop w:val="0"/>
      <w:marBottom w:val="0"/>
      <w:divBdr>
        <w:top w:val="none" w:sz="0" w:space="0" w:color="auto"/>
        <w:left w:val="none" w:sz="0" w:space="0" w:color="auto"/>
        <w:bottom w:val="none" w:sz="0" w:space="0" w:color="auto"/>
        <w:right w:val="none" w:sz="0" w:space="0" w:color="auto"/>
      </w:divBdr>
    </w:div>
    <w:div w:id="2062287074">
      <w:bodyDiv w:val="1"/>
      <w:marLeft w:val="0"/>
      <w:marRight w:val="0"/>
      <w:marTop w:val="0"/>
      <w:marBottom w:val="0"/>
      <w:divBdr>
        <w:top w:val="none" w:sz="0" w:space="0" w:color="auto"/>
        <w:left w:val="none" w:sz="0" w:space="0" w:color="auto"/>
        <w:bottom w:val="none" w:sz="0" w:space="0" w:color="auto"/>
        <w:right w:val="none" w:sz="0" w:space="0" w:color="auto"/>
      </w:divBdr>
    </w:div>
    <w:div w:id="2071534446">
      <w:bodyDiv w:val="1"/>
      <w:marLeft w:val="0"/>
      <w:marRight w:val="0"/>
      <w:marTop w:val="0"/>
      <w:marBottom w:val="0"/>
      <w:divBdr>
        <w:top w:val="none" w:sz="0" w:space="0" w:color="auto"/>
        <w:left w:val="none" w:sz="0" w:space="0" w:color="auto"/>
        <w:bottom w:val="none" w:sz="0" w:space="0" w:color="auto"/>
        <w:right w:val="none" w:sz="0" w:space="0" w:color="auto"/>
      </w:divBdr>
    </w:div>
    <w:div w:id="212272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cid:image002.png@01D1A496.2E4EF07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INFORME DE GESTIÓN DEL CONSEJERO ELECTORAL, DR. BENITO NACIF HERNÁNDEZ, COMO PRESIDENTE DEL COMITÉ DE RADIO Y TELEVISIÓN</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476016FA6175341AADDB6088852A599" ma:contentTypeVersion="0" ma:contentTypeDescription="Crear nuevo documento." ma:contentTypeScope="" ma:versionID="39c4e2fde2946554291fc92b6f493545">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420532-5401-4327-8660-0C49DB4F157F}">
  <ds:schemaRefs>
    <ds:schemaRef ds:uri="http://schemas.microsoft.com/sharepoint/v3/contenttype/forms"/>
  </ds:schemaRefs>
</ds:datastoreItem>
</file>

<file path=customXml/itemProps3.xml><?xml version="1.0" encoding="utf-8"?>
<ds:datastoreItem xmlns:ds="http://schemas.openxmlformats.org/officeDocument/2006/customXml" ds:itemID="{26B0D5D6-6F81-4345-8612-30064D324B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E043D7C-900B-4E15-B9F8-7488FD19EE92}">
  <ds:schemaRefs>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www.w3.org/XML/1998/namespace"/>
    <ds:schemaRef ds:uri="http://purl.org/dc/terms/"/>
  </ds:schemaRefs>
</ds:datastoreItem>
</file>

<file path=customXml/itemProps5.xml><?xml version="1.0" encoding="utf-8"?>
<ds:datastoreItem xmlns:ds="http://schemas.openxmlformats.org/officeDocument/2006/customXml" ds:itemID="{CFC06487-2F38-4DDC-9EA0-1A1B3E90F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26</Pages>
  <Words>8886</Words>
  <Characters>48878</Characters>
  <Application>Microsoft Office Word</Application>
  <DocSecurity>4</DocSecurity>
  <Lines>407</Lines>
  <Paragraphs>115</Paragraphs>
  <ScaleCrop>false</ScaleCrop>
  <HeadingPairs>
    <vt:vector size="2" baseType="variant">
      <vt:variant>
        <vt:lpstr>Título</vt:lpstr>
      </vt:variant>
      <vt:variant>
        <vt:i4>1</vt:i4>
      </vt:variant>
    </vt:vector>
  </HeadingPairs>
  <TitlesOfParts>
    <vt:vector size="1" baseType="lpstr">
      <vt:lpstr/>
    </vt:vector>
  </TitlesOfParts>
  <Company>Instituto Federal Electoral</Company>
  <LinksUpToDate>false</LinksUpToDate>
  <CharactersWithSpaces>57649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IFE</dc:creator>
  <cp:keywords/>
  <cp:lastModifiedBy>INE</cp:lastModifiedBy>
  <cp:revision>2</cp:revision>
  <cp:lastPrinted>2016-01-19T15:59:00Z</cp:lastPrinted>
  <dcterms:created xsi:type="dcterms:W3CDTF">2016-09-09T14:55:00Z</dcterms:created>
  <dcterms:modified xsi:type="dcterms:W3CDTF">2016-09-09T14:55:00Z</dcterms:modified>
  <cp:category>Ciudad de México, agosto de 2016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0x0101000476016FA6175341AADDB6088852A599</vt:lpwstr>
  </property>
</Properties>
</file>